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E22" w:rsidRDefault="005E4098">
      <w:pPr>
        <w:rPr>
          <w:b/>
          <w:sz w:val="24"/>
          <w:szCs w:val="24"/>
        </w:rPr>
      </w:pPr>
      <w:r w:rsidRPr="00DA7E22">
        <w:rPr>
          <w:b/>
          <w:sz w:val="24"/>
          <w:szCs w:val="24"/>
        </w:rPr>
        <w:t>E</w:t>
      </w:r>
      <w:r w:rsidR="00AD4414">
        <w:rPr>
          <w:b/>
          <w:sz w:val="24"/>
          <w:szCs w:val="24"/>
        </w:rPr>
        <w:t>lenco 2° semestre 2014</w:t>
      </w:r>
      <w:r w:rsidR="00B6340C" w:rsidRPr="00DA7E22">
        <w:rPr>
          <w:b/>
          <w:sz w:val="24"/>
          <w:szCs w:val="24"/>
        </w:rPr>
        <w:t xml:space="preserve"> </w:t>
      </w:r>
      <w:r w:rsidR="00DA7E22">
        <w:rPr>
          <w:b/>
          <w:sz w:val="24"/>
          <w:szCs w:val="24"/>
        </w:rPr>
        <w:t xml:space="preserve">delle </w:t>
      </w:r>
      <w:proofErr w:type="spellStart"/>
      <w:r w:rsidR="00DA7E22">
        <w:rPr>
          <w:b/>
          <w:sz w:val="24"/>
          <w:szCs w:val="24"/>
        </w:rPr>
        <w:t>determine</w:t>
      </w:r>
      <w:proofErr w:type="spellEnd"/>
      <w:r w:rsidR="00DA7E22">
        <w:rPr>
          <w:b/>
          <w:sz w:val="24"/>
          <w:szCs w:val="24"/>
        </w:rPr>
        <w:t xml:space="preserve"> adottate </w:t>
      </w:r>
      <w:r w:rsidRPr="00DA7E22">
        <w:rPr>
          <w:b/>
          <w:sz w:val="24"/>
          <w:szCs w:val="24"/>
        </w:rPr>
        <w:t>da</w:t>
      </w:r>
      <w:r w:rsidR="00A30A92" w:rsidRPr="00DA7E22">
        <w:rPr>
          <w:b/>
          <w:sz w:val="24"/>
          <w:szCs w:val="24"/>
        </w:rPr>
        <w:t>l Responsa</w:t>
      </w:r>
      <w:r w:rsidR="00D86219" w:rsidRPr="00DA7E22">
        <w:rPr>
          <w:b/>
          <w:sz w:val="24"/>
          <w:szCs w:val="24"/>
        </w:rPr>
        <w:t xml:space="preserve">bile del </w:t>
      </w:r>
      <w:r w:rsidR="00444E4F" w:rsidRPr="00DA7E22">
        <w:rPr>
          <w:b/>
          <w:sz w:val="24"/>
          <w:szCs w:val="24"/>
        </w:rPr>
        <w:t xml:space="preserve"> </w:t>
      </w:r>
      <w:r w:rsidR="00D86219" w:rsidRPr="00DA7E22">
        <w:rPr>
          <w:b/>
          <w:sz w:val="24"/>
          <w:szCs w:val="24"/>
        </w:rPr>
        <w:t>Settore Programmazione Finanziaria, Entrate e Sviluppo Economico</w:t>
      </w:r>
      <w:r w:rsidR="00DA7E22">
        <w:rPr>
          <w:b/>
          <w:sz w:val="24"/>
          <w:szCs w:val="24"/>
        </w:rPr>
        <w:t xml:space="preserve"> che si riferiscono a:</w:t>
      </w:r>
      <w:r w:rsidR="00D86219" w:rsidRPr="00DA7E22">
        <w:rPr>
          <w:b/>
          <w:sz w:val="24"/>
          <w:szCs w:val="24"/>
        </w:rPr>
        <w:t xml:space="preserve"> </w:t>
      </w:r>
    </w:p>
    <w:p w:rsidR="00D9579C" w:rsidRPr="00DA7E22" w:rsidRDefault="00DA7E22" w:rsidP="00DA7E22">
      <w:pPr>
        <w:pStyle w:val="Paragrafoelenco"/>
        <w:numPr>
          <w:ilvl w:val="0"/>
          <w:numId w:val="2"/>
        </w:numPr>
        <w:rPr>
          <w:b/>
          <w:sz w:val="24"/>
          <w:szCs w:val="24"/>
        </w:rPr>
      </w:pPr>
      <w:r>
        <w:rPr>
          <w:b/>
          <w:sz w:val="24"/>
          <w:szCs w:val="24"/>
        </w:rPr>
        <w:t xml:space="preserve">Accordi </w:t>
      </w:r>
      <w:r w:rsidR="00444E4F" w:rsidRPr="00DA7E22">
        <w:rPr>
          <w:b/>
          <w:sz w:val="24"/>
          <w:szCs w:val="24"/>
        </w:rPr>
        <w:t>con Enti Pubblici o Soggetti Privati</w:t>
      </w:r>
      <w:r w:rsidR="0022576D" w:rsidRPr="00DA7E22">
        <w:rPr>
          <w:b/>
          <w:sz w:val="24"/>
          <w:szCs w:val="24"/>
        </w:rPr>
        <w:t xml:space="preserve"> </w:t>
      </w:r>
    </w:p>
    <w:p w:rsidR="005E4098" w:rsidRPr="00DA7E22" w:rsidRDefault="005E4098" w:rsidP="00444E4F">
      <w:pPr>
        <w:pStyle w:val="Paragrafoelenco"/>
        <w:ind w:left="360"/>
        <w:rPr>
          <w:b/>
          <w:sz w:val="24"/>
          <w:szCs w:val="24"/>
        </w:rPr>
      </w:pPr>
    </w:p>
    <w:p w:rsidR="00B75C24" w:rsidRPr="0085031C" w:rsidRDefault="00B75C24">
      <w:pPr>
        <w:rPr>
          <w:sz w:val="16"/>
          <w:szCs w:val="16"/>
        </w:rPr>
      </w:pPr>
    </w:p>
    <w:tbl>
      <w:tblPr>
        <w:tblStyle w:val="Grigliatabella"/>
        <w:tblW w:w="0" w:type="auto"/>
        <w:tblLook w:val="04A0"/>
      </w:tblPr>
      <w:tblGrid>
        <w:gridCol w:w="2061"/>
        <w:gridCol w:w="2061"/>
        <w:gridCol w:w="2061"/>
        <w:gridCol w:w="2061"/>
        <w:gridCol w:w="2106"/>
        <w:gridCol w:w="2061"/>
        <w:gridCol w:w="2061"/>
      </w:tblGrid>
      <w:tr w:rsidR="00B75C24" w:rsidRPr="0085031C" w:rsidTr="00B75C24">
        <w:tc>
          <w:tcPr>
            <w:tcW w:w="2061" w:type="dxa"/>
          </w:tcPr>
          <w:p w:rsidR="00A30A92" w:rsidRPr="0085031C" w:rsidRDefault="00D86219">
            <w:pPr>
              <w:rPr>
                <w:b/>
                <w:sz w:val="16"/>
                <w:szCs w:val="16"/>
              </w:rPr>
            </w:pPr>
            <w:r>
              <w:rPr>
                <w:b/>
                <w:sz w:val="16"/>
                <w:szCs w:val="16"/>
              </w:rPr>
              <w:t>Settore Programmazione Finanziaria, Entrate e Sviluppo Economico</w:t>
            </w:r>
          </w:p>
        </w:tc>
        <w:tc>
          <w:tcPr>
            <w:tcW w:w="2061" w:type="dxa"/>
          </w:tcPr>
          <w:p w:rsidR="00B75C24" w:rsidRDefault="00A30A92">
            <w:pPr>
              <w:rPr>
                <w:b/>
                <w:sz w:val="16"/>
                <w:szCs w:val="16"/>
              </w:rPr>
            </w:pPr>
            <w:r>
              <w:rPr>
                <w:b/>
                <w:sz w:val="16"/>
                <w:szCs w:val="16"/>
              </w:rPr>
              <w:t xml:space="preserve">TIPOLOGIA </w:t>
            </w:r>
            <w:r w:rsidR="00B75C24" w:rsidRPr="0085031C">
              <w:rPr>
                <w:b/>
                <w:sz w:val="16"/>
                <w:szCs w:val="16"/>
              </w:rPr>
              <w:t>ATTO</w:t>
            </w:r>
            <w:r w:rsidR="0022576D">
              <w:rPr>
                <w:b/>
                <w:sz w:val="16"/>
                <w:szCs w:val="16"/>
              </w:rPr>
              <w:t xml:space="preserve"> </w:t>
            </w:r>
          </w:p>
          <w:p w:rsidR="00444E4F" w:rsidRPr="0085031C" w:rsidRDefault="00444E4F">
            <w:pPr>
              <w:rPr>
                <w:b/>
                <w:sz w:val="16"/>
                <w:szCs w:val="16"/>
              </w:rPr>
            </w:pPr>
            <w:r>
              <w:rPr>
                <w:b/>
                <w:sz w:val="16"/>
                <w:szCs w:val="16"/>
              </w:rPr>
              <w:t>(Protocolli d’intesa, Convenzioni, Contratti, Accordi, ecc.)</w:t>
            </w:r>
          </w:p>
        </w:tc>
        <w:tc>
          <w:tcPr>
            <w:tcW w:w="2061" w:type="dxa"/>
          </w:tcPr>
          <w:p w:rsidR="00B75C24" w:rsidRPr="0085031C" w:rsidRDefault="00B75C24">
            <w:pPr>
              <w:rPr>
                <w:b/>
                <w:sz w:val="16"/>
                <w:szCs w:val="16"/>
              </w:rPr>
            </w:pPr>
            <w:r w:rsidRPr="0085031C">
              <w:rPr>
                <w:b/>
                <w:sz w:val="16"/>
                <w:szCs w:val="16"/>
              </w:rPr>
              <w:t>NUMERO E DATA ATTO</w:t>
            </w:r>
          </w:p>
        </w:tc>
        <w:tc>
          <w:tcPr>
            <w:tcW w:w="2061" w:type="dxa"/>
          </w:tcPr>
          <w:p w:rsidR="00B75C24" w:rsidRPr="0085031C" w:rsidRDefault="00B75C24">
            <w:pPr>
              <w:rPr>
                <w:b/>
                <w:sz w:val="16"/>
                <w:szCs w:val="16"/>
              </w:rPr>
            </w:pPr>
            <w:r w:rsidRPr="0085031C">
              <w:rPr>
                <w:b/>
                <w:sz w:val="16"/>
                <w:szCs w:val="16"/>
              </w:rPr>
              <w:t>OGGETTO</w:t>
            </w:r>
          </w:p>
        </w:tc>
        <w:tc>
          <w:tcPr>
            <w:tcW w:w="2061" w:type="dxa"/>
          </w:tcPr>
          <w:p w:rsidR="00B75C24" w:rsidRPr="0085031C" w:rsidRDefault="00B75C24">
            <w:pPr>
              <w:rPr>
                <w:b/>
                <w:sz w:val="16"/>
                <w:szCs w:val="16"/>
              </w:rPr>
            </w:pPr>
            <w:r w:rsidRPr="0085031C">
              <w:rPr>
                <w:b/>
                <w:sz w:val="16"/>
                <w:szCs w:val="16"/>
              </w:rPr>
              <w:t>CONTENUTO</w:t>
            </w:r>
          </w:p>
        </w:tc>
        <w:tc>
          <w:tcPr>
            <w:tcW w:w="2061" w:type="dxa"/>
          </w:tcPr>
          <w:p w:rsidR="00B75C24" w:rsidRPr="0085031C" w:rsidRDefault="00B75C24">
            <w:pPr>
              <w:rPr>
                <w:b/>
                <w:sz w:val="16"/>
                <w:szCs w:val="16"/>
              </w:rPr>
            </w:pPr>
            <w:r w:rsidRPr="0085031C">
              <w:rPr>
                <w:b/>
                <w:sz w:val="16"/>
                <w:szCs w:val="16"/>
              </w:rPr>
              <w:t xml:space="preserve">SPESA PREVISTA </w:t>
            </w:r>
          </w:p>
        </w:tc>
        <w:tc>
          <w:tcPr>
            <w:tcW w:w="2061" w:type="dxa"/>
          </w:tcPr>
          <w:p w:rsidR="00B75C24" w:rsidRPr="0085031C" w:rsidRDefault="00B75C24">
            <w:pPr>
              <w:rPr>
                <w:b/>
                <w:sz w:val="16"/>
                <w:szCs w:val="16"/>
              </w:rPr>
            </w:pPr>
            <w:r w:rsidRPr="0085031C">
              <w:rPr>
                <w:b/>
                <w:sz w:val="16"/>
                <w:szCs w:val="16"/>
              </w:rPr>
              <w:t>ESTREMI AI PRINCIPALI DOCUMENTI CONTENUTI NEL FASCIC</w:t>
            </w:r>
            <w:r w:rsidR="005E4098" w:rsidRPr="0085031C">
              <w:rPr>
                <w:b/>
                <w:sz w:val="16"/>
                <w:szCs w:val="16"/>
              </w:rPr>
              <w:t xml:space="preserve">OLO </w:t>
            </w:r>
            <w:r w:rsidRPr="0085031C">
              <w:rPr>
                <w:b/>
                <w:sz w:val="16"/>
                <w:szCs w:val="16"/>
              </w:rPr>
              <w:t>RELATIVO AL PROCEDIMENTO</w:t>
            </w:r>
          </w:p>
        </w:tc>
      </w:tr>
      <w:tr w:rsidR="00DF771E" w:rsidTr="00B75C24">
        <w:tc>
          <w:tcPr>
            <w:tcW w:w="2061" w:type="dxa"/>
          </w:tcPr>
          <w:p w:rsidR="00DF771E" w:rsidRPr="00D86219" w:rsidRDefault="00DF771E">
            <w:pPr>
              <w:rPr>
                <w:sz w:val="16"/>
                <w:szCs w:val="16"/>
              </w:rPr>
            </w:pPr>
            <w:r w:rsidRPr="00D86219">
              <w:rPr>
                <w:sz w:val="16"/>
                <w:szCs w:val="16"/>
              </w:rPr>
              <w:t>Responsabile del Servizio</w:t>
            </w:r>
          </w:p>
        </w:tc>
        <w:tc>
          <w:tcPr>
            <w:tcW w:w="2061" w:type="dxa"/>
          </w:tcPr>
          <w:p w:rsidR="00DF771E" w:rsidRPr="005A6406" w:rsidRDefault="00DF771E">
            <w:pPr>
              <w:rPr>
                <w:sz w:val="16"/>
                <w:szCs w:val="16"/>
              </w:rPr>
            </w:pPr>
            <w:r w:rsidRPr="005A6406">
              <w:rPr>
                <w:sz w:val="16"/>
                <w:szCs w:val="16"/>
              </w:rPr>
              <w:t>Determina</w:t>
            </w:r>
          </w:p>
        </w:tc>
        <w:tc>
          <w:tcPr>
            <w:tcW w:w="2061" w:type="dxa"/>
          </w:tcPr>
          <w:p w:rsidR="00DF771E" w:rsidRPr="003F6FE5" w:rsidRDefault="00DF771E" w:rsidP="00A3347D">
            <w:pPr>
              <w:rPr>
                <w:sz w:val="16"/>
                <w:szCs w:val="16"/>
              </w:rPr>
            </w:pPr>
            <w:r w:rsidRPr="003F6FE5">
              <w:rPr>
                <w:sz w:val="16"/>
                <w:szCs w:val="16"/>
              </w:rPr>
              <w:t>n.1001 del 2.10.2014</w:t>
            </w:r>
          </w:p>
        </w:tc>
        <w:tc>
          <w:tcPr>
            <w:tcW w:w="2061" w:type="dxa"/>
          </w:tcPr>
          <w:p w:rsidR="00DF771E" w:rsidRPr="003F6FE5" w:rsidRDefault="00DF771E" w:rsidP="00A3347D">
            <w:pPr>
              <w:rPr>
                <w:sz w:val="16"/>
                <w:szCs w:val="16"/>
              </w:rPr>
            </w:pPr>
            <w:r w:rsidRPr="003F6FE5">
              <w:rPr>
                <w:sz w:val="16"/>
                <w:szCs w:val="16"/>
              </w:rPr>
              <w:t>STIPULA CONVENZIONE CON POSTE ITALIANE PER LA RISCOSSIONE DELLA TARI.</w:t>
            </w:r>
          </w:p>
        </w:tc>
        <w:tc>
          <w:tcPr>
            <w:tcW w:w="2061" w:type="dxa"/>
          </w:tcPr>
          <w:p w:rsidR="00DF771E" w:rsidRDefault="00DF771E" w:rsidP="00A3347D">
            <w:pPr>
              <w:rPr>
                <w:sz w:val="16"/>
                <w:szCs w:val="16"/>
              </w:rPr>
            </w:pPr>
            <w:r>
              <w:rPr>
                <w:sz w:val="16"/>
                <w:szCs w:val="16"/>
              </w:rPr>
              <w:t>[…]</w:t>
            </w:r>
          </w:p>
          <w:p w:rsidR="00DF771E" w:rsidRPr="003F6FE5" w:rsidRDefault="00DF771E" w:rsidP="00A3347D">
            <w:pPr>
              <w:rPr>
                <w:sz w:val="16"/>
                <w:szCs w:val="16"/>
              </w:rPr>
            </w:pPr>
            <w:r w:rsidRPr="003F6FE5">
              <w:rPr>
                <w:sz w:val="16"/>
                <w:szCs w:val="16"/>
              </w:rPr>
              <w:t>Premesso:</w:t>
            </w:r>
          </w:p>
          <w:p w:rsidR="00DF771E" w:rsidRPr="003F6FE5" w:rsidRDefault="00DF771E" w:rsidP="00A3347D">
            <w:pPr>
              <w:rPr>
                <w:sz w:val="16"/>
                <w:szCs w:val="16"/>
              </w:rPr>
            </w:pPr>
          </w:p>
          <w:p w:rsidR="00DF771E" w:rsidRPr="003F6FE5" w:rsidRDefault="00DF771E" w:rsidP="00DF771E">
            <w:pPr>
              <w:pStyle w:val="Paragrafoelenco"/>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contextualSpacing w:val="0"/>
              <w:jc w:val="both"/>
              <w:rPr>
                <w:sz w:val="16"/>
                <w:szCs w:val="16"/>
              </w:rPr>
            </w:pPr>
            <w:r w:rsidRPr="003F6FE5">
              <w:rPr>
                <w:bCs/>
                <w:sz w:val="16"/>
                <w:szCs w:val="16"/>
              </w:rPr>
              <w:t>Che</w:t>
            </w:r>
            <w:r w:rsidRPr="003F6FE5">
              <w:rPr>
                <w:sz w:val="16"/>
                <w:szCs w:val="16"/>
              </w:rPr>
              <w:t xml:space="preserve"> l’art. 1 comma 639, della legge 27/12/2013 n. 147, ha istituito, a decorrere dal 1° gennaio 2014, </w:t>
            </w:r>
            <w:r w:rsidRPr="003F6FE5">
              <w:rPr>
                <w:rFonts w:cs="Courier New"/>
                <w:color w:val="000000"/>
                <w:sz w:val="16"/>
                <w:szCs w:val="16"/>
              </w:rPr>
              <w:t>l</w:t>
            </w:r>
            <w:r w:rsidRPr="003F6FE5">
              <w:rPr>
                <w:color w:val="000000"/>
                <w:sz w:val="16"/>
                <w:szCs w:val="16"/>
              </w:rPr>
              <w:t xml:space="preserve">'imposta unica comunale (IUC), composta da </w:t>
            </w:r>
            <w:proofErr w:type="spellStart"/>
            <w:r w:rsidRPr="003F6FE5">
              <w:rPr>
                <w:color w:val="000000"/>
                <w:sz w:val="16"/>
                <w:szCs w:val="16"/>
              </w:rPr>
              <w:t>I.M.U.</w:t>
            </w:r>
            <w:proofErr w:type="spellEnd"/>
            <w:r w:rsidRPr="003F6FE5">
              <w:rPr>
                <w:color w:val="000000"/>
                <w:sz w:val="16"/>
                <w:szCs w:val="16"/>
              </w:rPr>
              <w:t xml:space="preserve"> (imposta municipale propria), </w:t>
            </w:r>
            <w:proofErr w:type="spellStart"/>
            <w:r w:rsidRPr="003F6FE5">
              <w:rPr>
                <w:color w:val="000000"/>
                <w:sz w:val="16"/>
                <w:szCs w:val="16"/>
              </w:rPr>
              <w:t>T.A.S.I.</w:t>
            </w:r>
            <w:proofErr w:type="spellEnd"/>
            <w:r w:rsidRPr="003F6FE5">
              <w:rPr>
                <w:color w:val="000000"/>
                <w:sz w:val="16"/>
                <w:szCs w:val="16"/>
              </w:rPr>
              <w:t xml:space="preserve"> (tributo sui servizi indivisibili) e </w:t>
            </w:r>
            <w:proofErr w:type="spellStart"/>
            <w:r w:rsidRPr="003F6FE5">
              <w:rPr>
                <w:color w:val="000000"/>
                <w:sz w:val="16"/>
                <w:szCs w:val="16"/>
              </w:rPr>
              <w:t>T.A.R.I.</w:t>
            </w:r>
            <w:proofErr w:type="spellEnd"/>
            <w:r w:rsidRPr="003F6FE5">
              <w:rPr>
                <w:color w:val="000000"/>
                <w:sz w:val="16"/>
                <w:szCs w:val="16"/>
              </w:rPr>
              <w:t xml:space="preserve"> (tributo sul servizio rifiuti urbani) che sostituisce in toto la TARES. Essa si  basa  su due presupposti impositivi, uno costituito dal possesso di </w:t>
            </w:r>
            <w:r w:rsidRPr="003F6FE5">
              <w:rPr>
                <w:color w:val="000000"/>
                <w:sz w:val="16"/>
                <w:szCs w:val="16"/>
              </w:rPr>
              <w:lastRenderedPageBreak/>
              <w:t>immobili e collegato  alla  loro   natura   e   valore   e   l'altro   collegato all'erogazione e alla  fruizione  di  servizi  comunali;</w:t>
            </w:r>
          </w:p>
          <w:p w:rsidR="00DF771E" w:rsidRPr="003F6FE5" w:rsidRDefault="00DF771E" w:rsidP="00A3347D">
            <w:pPr>
              <w:pStyle w:val="Paragrafoelenco"/>
              <w:jc w:val="both"/>
              <w:rPr>
                <w:sz w:val="16"/>
                <w:szCs w:val="16"/>
              </w:rPr>
            </w:pPr>
          </w:p>
          <w:p w:rsidR="00DF771E" w:rsidRPr="003F6FE5" w:rsidRDefault="00DF771E" w:rsidP="00DF771E">
            <w:pPr>
              <w:pStyle w:val="Paragrafoelenco"/>
              <w:numPr>
                <w:ilvl w:val="0"/>
                <w:numId w:val="6"/>
              </w:numPr>
              <w:contextualSpacing w:val="0"/>
              <w:jc w:val="both"/>
              <w:rPr>
                <w:sz w:val="16"/>
                <w:szCs w:val="16"/>
              </w:rPr>
            </w:pPr>
            <w:r w:rsidRPr="003F6FE5">
              <w:rPr>
                <w:sz w:val="16"/>
                <w:szCs w:val="16"/>
              </w:rPr>
              <w:t>che l’art. 52 del Decreto Legislativo 15 dicembre 1997, n. 446, conferisce ai comuni la potestà di disciplinare con regolamento le proprie entrate;</w:t>
            </w:r>
          </w:p>
          <w:p w:rsidR="00DF771E" w:rsidRPr="003F6FE5" w:rsidRDefault="00DF771E" w:rsidP="00A3347D">
            <w:pPr>
              <w:pStyle w:val="Paragrafoelenco"/>
              <w:ind w:left="426"/>
              <w:rPr>
                <w:sz w:val="16"/>
                <w:szCs w:val="16"/>
              </w:rPr>
            </w:pPr>
          </w:p>
          <w:p w:rsidR="00DF771E" w:rsidRPr="003F6FE5" w:rsidRDefault="00DF771E" w:rsidP="00DF771E">
            <w:pPr>
              <w:pStyle w:val="Paragrafoelenco"/>
              <w:numPr>
                <w:ilvl w:val="0"/>
                <w:numId w:val="6"/>
              </w:numPr>
              <w:contextualSpacing w:val="0"/>
              <w:jc w:val="both"/>
              <w:rPr>
                <w:sz w:val="16"/>
                <w:szCs w:val="16"/>
              </w:rPr>
            </w:pPr>
            <w:r w:rsidRPr="003F6FE5">
              <w:rPr>
                <w:sz w:val="16"/>
                <w:szCs w:val="16"/>
              </w:rPr>
              <w:t xml:space="preserve">che l’art. 59, comma 1, punto n), del </w:t>
            </w:r>
            <w:proofErr w:type="spellStart"/>
            <w:r w:rsidRPr="003F6FE5">
              <w:rPr>
                <w:sz w:val="16"/>
                <w:szCs w:val="16"/>
              </w:rPr>
              <w:t>D.Lgs.</w:t>
            </w:r>
            <w:proofErr w:type="spellEnd"/>
            <w:r w:rsidRPr="003F6FE5">
              <w:rPr>
                <w:sz w:val="16"/>
                <w:szCs w:val="16"/>
              </w:rPr>
              <w:t xml:space="preserve"> 15 dicembre 1997, n. 446, prevede di razionalizzare le modalità di esecuzione dei versamenti, sia in autotassazione che a seguito di accertamenti, prevedendo, in aggiunta o in sostituzione del pagamento tramite il concessionario della riscossione, il versamento sul conto corrente postale intestato alla tesoreria del comune e quello direttamente presso la tesoreria </w:t>
            </w:r>
            <w:r w:rsidRPr="003F6FE5">
              <w:rPr>
                <w:sz w:val="16"/>
                <w:szCs w:val="16"/>
              </w:rPr>
              <w:lastRenderedPageBreak/>
              <w:t>medesima, o tramite modelli F 24;</w:t>
            </w:r>
          </w:p>
          <w:p w:rsidR="00DF771E" w:rsidRPr="003F6FE5" w:rsidRDefault="00DF771E" w:rsidP="00A3347D">
            <w:pPr>
              <w:pStyle w:val="Paragrafoelenco"/>
              <w:rPr>
                <w:sz w:val="16"/>
                <w:szCs w:val="16"/>
              </w:rPr>
            </w:pPr>
          </w:p>
          <w:p w:rsidR="00DF771E" w:rsidRPr="003F6FE5" w:rsidRDefault="00DF771E" w:rsidP="00DF771E">
            <w:pPr>
              <w:pStyle w:val="Paragrafoelenco"/>
              <w:numPr>
                <w:ilvl w:val="0"/>
                <w:numId w:val="6"/>
              </w:numPr>
              <w:contextualSpacing w:val="0"/>
              <w:jc w:val="both"/>
              <w:rPr>
                <w:sz w:val="16"/>
                <w:szCs w:val="16"/>
              </w:rPr>
            </w:pPr>
            <w:r w:rsidRPr="003F6FE5">
              <w:rPr>
                <w:sz w:val="16"/>
                <w:szCs w:val="16"/>
              </w:rPr>
              <w:t>che, ai sensi di quanto previsto dall’art. 3, comma 143, della legge 23 dicembre 1996, n. 662 il Comune persegue il fine di semplificare e razionalizzare gli adempimenti dei contribuenti;</w:t>
            </w:r>
          </w:p>
          <w:p w:rsidR="00DF771E" w:rsidRPr="003F6FE5" w:rsidRDefault="00DF771E" w:rsidP="00A3347D">
            <w:pPr>
              <w:pStyle w:val="Paragrafoelenco"/>
              <w:rPr>
                <w:sz w:val="16"/>
                <w:szCs w:val="16"/>
              </w:rPr>
            </w:pPr>
          </w:p>
          <w:p w:rsidR="00DF771E" w:rsidRPr="003F6FE5" w:rsidRDefault="00DF771E" w:rsidP="00DF771E">
            <w:pPr>
              <w:pStyle w:val="Paragrafoelenco"/>
              <w:numPr>
                <w:ilvl w:val="0"/>
                <w:numId w:val="6"/>
              </w:numPr>
              <w:contextualSpacing w:val="0"/>
              <w:jc w:val="both"/>
              <w:rPr>
                <w:sz w:val="16"/>
                <w:szCs w:val="16"/>
              </w:rPr>
            </w:pPr>
            <w:r w:rsidRPr="003F6FE5">
              <w:rPr>
                <w:sz w:val="16"/>
                <w:szCs w:val="16"/>
              </w:rPr>
              <w:t>che l’art. 36 della legge 23 dicembre 2000, n. 388 favorisce modalità di incassi tese alla velocizzazione delle fasi di acquisizione delle somme che assicurino la più ampia diffusione dei canali di pagamento e la sollecita trasmissione dei dati del pagamento medesimo;</w:t>
            </w:r>
          </w:p>
          <w:p w:rsidR="00DF771E" w:rsidRPr="003F6FE5" w:rsidRDefault="00DF771E" w:rsidP="00A3347D">
            <w:pPr>
              <w:pStyle w:val="Paragrafoelenco"/>
              <w:rPr>
                <w:sz w:val="16"/>
                <w:szCs w:val="16"/>
              </w:rPr>
            </w:pPr>
          </w:p>
          <w:p w:rsidR="00DF771E" w:rsidRPr="003F6FE5" w:rsidRDefault="00DF771E" w:rsidP="00DF771E">
            <w:pPr>
              <w:pStyle w:val="Paragrafoelenco"/>
              <w:numPr>
                <w:ilvl w:val="0"/>
                <w:numId w:val="6"/>
              </w:numPr>
              <w:contextualSpacing w:val="0"/>
              <w:jc w:val="both"/>
              <w:rPr>
                <w:sz w:val="16"/>
                <w:szCs w:val="16"/>
              </w:rPr>
            </w:pPr>
            <w:r w:rsidRPr="003F6FE5">
              <w:rPr>
                <w:sz w:val="16"/>
                <w:szCs w:val="16"/>
              </w:rPr>
              <w:t>che è intendimento dell’Amministrazione Comunale, così come avvenuto per la TARES, provvedere direttamente alla riscossione della TARI;</w:t>
            </w:r>
          </w:p>
          <w:p w:rsidR="00DF771E" w:rsidRPr="003F6FE5" w:rsidRDefault="00DF771E" w:rsidP="00A3347D">
            <w:pPr>
              <w:rPr>
                <w:sz w:val="16"/>
                <w:szCs w:val="16"/>
              </w:rPr>
            </w:pPr>
          </w:p>
          <w:p w:rsidR="00DF771E" w:rsidRPr="003F6FE5" w:rsidRDefault="00DF771E" w:rsidP="00DF771E">
            <w:pPr>
              <w:pStyle w:val="Paragrafoelenco"/>
              <w:numPr>
                <w:ilvl w:val="0"/>
                <w:numId w:val="6"/>
              </w:numPr>
              <w:contextualSpacing w:val="0"/>
              <w:jc w:val="both"/>
              <w:rPr>
                <w:sz w:val="16"/>
                <w:szCs w:val="16"/>
              </w:rPr>
            </w:pPr>
            <w:r w:rsidRPr="003F6FE5">
              <w:rPr>
                <w:sz w:val="16"/>
                <w:szCs w:val="16"/>
              </w:rPr>
              <w:lastRenderedPageBreak/>
              <w:t>vista la proposta di convenzione di Poste Tributi, società consortile per azioni del Gruppo Poste Italiane, denominata “RISCOCOMUNI IUC-TARI” per l’attività a supporto della riscossione della TARI gestita direttamente dal Comune;</w:t>
            </w:r>
          </w:p>
          <w:p w:rsidR="00DF771E" w:rsidRPr="003F6FE5" w:rsidRDefault="00DF771E" w:rsidP="00A3347D">
            <w:pPr>
              <w:pStyle w:val="Paragrafoelenco"/>
              <w:rPr>
                <w:sz w:val="16"/>
                <w:szCs w:val="16"/>
              </w:rPr>
            </w:pPr>
          </w:p>
          <w:p w:rsidR="00DF771E" w:rsidRPr="003F6FE5" w:rsidRDefault="00DF771E" w:rsidP="00DF771E">
            <w:pPr>
              <w:pStyle w:val="Paragrafoelenco"/>
              <w:numPr>
                <w:ilvl w:val="0"/>
                <w:numId w:val="6"/>
              </w:numPr>
              <w:contextualSpacing w:val="0"/>
              <w:jc w:val="both"/>
              <w:rPr>
                <w:sz w:val="16"/>
                <w:szCs w:val="16"/>
              </w:rPr>
            </w:pPr>
            <w:r w:rsidRPr="003F6FE5">
              <w:rPr>
                <w:sz w:val="16"/>
                <w:szCs w:val="16"/>
              </w:rPr>
              <w:t>considerato che l’importo del corrispettivo dovuto a Poste Tributi per il servizio di cui alla convenzione “RISCOCOMUNI IUC-TARI” è determinato sulla base del Listino Prezzi e condizioni, allegato alla presente;</w:t>
            </w:r>
          </w:p>
          <w:p w:rsidR="00DF771E" w:rsidRPr="003F6FE5" w:rsidRDefault="00DF771E" w:rsidP="00A3347D">
            <w:pPr>
              <w:pStyle w:val="Paragrafoelenco"/>
              <w:rPr>
                <w:sz w:val="16"/>
                <w:szCs w:val="16"/>
              </w:rPr>
            </w:pPr>
          </w:p>
          <w:p w:rsidR="00DF771E" w:rsidRPr="003F6FE5" w:rsidRDefault="00DF771E" w:rsidP="00DF771E">
            <w:pPr>
              <w:pStyle w:val="Paragrafoelenco"/>
              <w:numPr>
                <w:ilvl w:val="0"/>
                <w:numId w:val="6"/>
              </w:numPr>
              <w:contextualSpacing w:val="0"/>
              <w:jc w:val="both"/>
              <w:rPr>
                <w:sz w:val="16"/>
                <w:szCs w:val="16"/>
              </w:rPr>
            </w:pPr>
            <w:r w:rsidRPr="003F6FE5">
              <w:rPr>
                <w:sz w:val="16"/>
                <w:szCs w:val="16"/>
              </w:rPr>
              <w:t xml:space="preserve">considerato, infine, che questa Amministrazione ha usufruito, nel corso del 2013, del servizio reso da Poste Tributi come supporto per la riscossione della </w:t>
            </w:r>
            <w:proofErr w:type="spellStart"/>
            <w:r w:rsidRPr="003F6FE5">
              <w:rPr>
                <w:sz w:val="16"/>
                <w:szCs w:val="16"/>
              </w:rPr>
              <w:t>Tares</w:t>
            </w:r>
            <w:proofErr w:type="spellEnd"/>
            <w:r w:rsidRPr="003F6FE5">
              <w:rPr>
                <w:sz w:val="16"/>
                <w:szCs w:val="16"/>
              </w:rPr>
              <w:t xml:space="preserve">, </w:t>
            </w:r>
          </w:p>
          <w:p w:rsidR="00DF771E" w:rsidRPr="003F6FE5" w:rsidRDefault="00DF771E" w:rsidP="00A3347D">
            <w:pPr>
              <w:pStyle w:val="Paragrafoelenco"/>
              <w:rPr>
                <w:sz w:val="16"/>
                <w:szCs w:val="16"/>
              </w:rPr>
            </w:pPr>
          </w:p>
          <w:p w:rsidR="00DF771E" w:rsidRPr="003F6FE5" w:rsidRDefault="00DF771E" w:rsidP="00A3347D">
            <w:pPr>
              <w:rPr>
                <w:sz w:val="16"/>
                <w:szCs w:val="16"/>
              </w:rPr>
            </w:pPr>
            <w:r w:rsidRPr="003F6FE5">
              <w:rPr>
                <w:sz w:val="16"/>
                <w:szCs w:val="16"/>
              </w:rPr>
              <w:t>Eseguito con esito favorevole il controllo di regolarità amministrativa del presente atto avendo verificato:</w:t>
            </w:r>
          </w:p>
          <w:p w:rsidR="00DF771E" w:rsidRPr="003F6FE5" w:rsidRDefault="00DF771E" w:rsidP="00A3347D">
            <w:pPr>
              <w:rPr>
                <w:sz w:val="16"/>
                <w:szCs w:val="16"/>
              </w:rPr>
            </w:pPr>
          </w:p>
          <w:p w:rsidR="00DF771E" w:rsidRPr="003F6FE5" w:rsidRDefault="00DF771E" w:rsidP="00A3347D">
            <w:pPr>
              <w:pStyle w:val="Titolo"/>
              <w:jc w:val="both"/>
              <w:rPr>
                <w:rFonts w:asciiTheme="minorHAnsi" w:hAnsiTheme="minorHAnsi" w:cs="Times New Roman"/>
                <w:sz w:val="16"/>
                <w:szCs w:val="16"/>
              </w:rPr>
            </w:pPr>
            <w:r w:rsidRPr="003F6FE5">
              <w:rPr>
                <w:rFonts w:asciiTheme="minorHAnsi" w:hAnsiTheme="minorHAnsi" w:cs="Times New Roman"/>
                <w:sz w:val="16"/>
                <w:szCs w:val="16"/>
              </w:rPr>
              <w:t xml:space="preserve">a) il rispetto delle normative comunitarie, statali, regionali, e regolamentari, generali     del   settore; </w:t>
            </w:r>
          </w:p>
          <w:p w:rsidR="00DF771E" w:rsidRPr="003F6FE5" w:rsidRDefault="00DF771E" w:rsidP="00A3347D">
            <w:pPr>
              <w:pStyle w:val="Titolo"/>
              <w:jc w:val="both"/>
              <w:rPr>
                <w:rFonts w:asciiTheme="minorHAnsi" w:hAnsiTheme="minorHAnsi" w:cs="Times New Roman"/>
                <w:sz w:val="16"/>
                <w:szCs w:val="16"/>
              </w:rPr>
            </w:pPr>
            <w:r w:rsidRPr="003F6FE5">
              <w:rPr>
                <w:rFonts w:asciiTheme="minorHAnsi" w:hAnsiTheme="minorHAnsi" w:cs="Times New Roman"/>
                <w:sz w:val="16"/>
                <w:szCs w:val="16"/>
              </w:rPr>
              <w:t>b) la correttezza e regolarità della procedura;</w:t>
            </w:r>
          </w:p>
          <w:p w:rsidR="00DF771E" w:rsidRPr="003F6FE5" w:rsidRDefault="00DF771E" w:rsidP="00A3347D">
            <w:pPr>
              <w:pStyle w:val="Titolo"/>
              <w:spacing w:after="120"/>
              <w:jc w:val="both"/>
              <w:rPr>
                <w:rFonts w:asciiTheme="minorHAnsi" w:hAnsiTheme="minorHAnsi" w:cs="Times New Roman"/>
                <w:sz w:val="16"/>
                <w:szCs w:val="16"/>
              </w:rPr>
            </w:pPr>
            <w:r w:rsidRPr="003F6FE5">
              <w:rPr>
                <w:rFonts w:asciiTheme="minorHAnsi" w:hAnsiTheme="minorHAnsi" w:cs="Times New Roman"/>
                <w:sz w:val="16"/>
                <w:szCs w:val="16"/>
              </w:rPr>
              <w:t xml:space="preserve">c) la correttezza formale nella redazione dell’atto; </w:t>
            </w:r>
          </w:p>
          <w:p w:rsidR="00DF771E" w:rsidRPr="003F6FE5" w:rsidRDefault="00DF771E" w:rsidP="00A3347D">
            <w:pPr>
              <w:pStyle w:val="Titolo"/>
              <w:jc w:val="both"/>
              <w:rPr>
                <w:rFonts w:asciiTheme="minorHAnsi" w:hAnsiTheme="minorHAnsi" w:cs="Times New Roman"/>
                <w:sz w:val="16"/>
                <w:szCs w:val="16"/>
              </w:rPr>
            </w:pPr>
            <w:r w:rsidRPr="003F6FE5">
              <w:rPr>
                <w:rFonts w:asciiTheme="minorHAnsi" w:hAnsiTheme="minorHAnsi" w:cs="Times New Roman"/>
                <w:sz w:val="16"/>
                <w:szCs w:val="16"/>
              </w:rPr>
              <w:t>Acquisito il seguente parere sulla regolarità contabile espresso dal Responsabile dei Servizi Finanziari “ favorevole”;</w:t>
            </w:r>
          </w:p>
          <w:p w:rsidR="00DF771E" w:rsidRPr="003F6FE5" w:rsidRDefault="00DF771E" w:rsidP="00A3347D">
            <w:pPr>
              <w:pStyle w:val="Titolo"/>
              <w:jc w:val="both"/>
              <w:rPr>
                <w:rFonts w:asciiTheme="minorHAnsi" w:hAnsiTheme="minorHAnsi" w:cs="Times New Roman"/>
                <w:sz w:val="16"/>
                <w:szCs w:val="16"/>
              </w:rPr>
            </w:pPr>
          </w:p>
          <w:p w:rsidR="00DF771E" w:rsidRPr="003F6FE5" w:rsidRDefault="00DF771E" w:rsidP="00A3347D">
            <w:pPr>
              <w:rPr>
                <w:sz w:val="16"/>
                <w:szCs w:val="16"/>
              </w:rPr>
            </w:pPr>
            <w:r w:rsidRPr="003F6FE5">
              <w:rPr>
                <w:sz w:val="16"/>
                <w:szCs w:val="16"/>
              </w:rPr>
              <w:t xml:space="preserve">Visto il d. </w:t>
            </w:r>
            <w:proofErr w:type="spellStart"/>
            <w:r w:rsidRPr="003F6FE5">
              <w:rPr>
                <w:sz w:val="16"/>
                <w:szCs w:val="16"/>
              </w:rPr>
              <w:t>lgs</w:t>
            </w:r>
            <w:proofErr w:type="spellEnd"/>
            <w:r w:rsidRPr="003F6FE5">
              <w:rPr>
                <w:sz w:val="16"/>
                <w:szCs w:val="16"/>
              </w:rPr>
              <w:t>. n. 267/00;</w:t>
            </w:r>
          </w:p>
          <w:p w:rsidR="00DF771E" w:rsidRPr="003F6FE5" w:rsidRDefault="00DF771E" w:rsidP="00A3347D">
            <w:pPr>
              <w:rPr>
                <w:sz w:val="16"/>
                <w:szCs w:val="16"/>
              </w:rPr>
            </w:pPr>
          </w:p>
          <w:p w:rsidR="00DF771E" w:rsidRPr="003F6FE5" w:rsidRDefault="00DF771E" w:rsidP="00A3347D">
            <w:pPr>
              <w:jc w:val="center"/>
              <w:rPr>
                <w:sz w:val="16"/>
                <w:szCs w:val="16"/>
              </w:rPr>
            </w:pPr>
          </w:p>
          <w:p w:rsidR="00DF771E" w:rsidRPr="003F6FE5" w:rsidRDefault="00DF771E" w:rsidP="00A3347D">
            <w:pPr>
              <w:jc w:val="center"/>
              <w:rPr>
                <w:sz w:val="16"/>
                <w:szCs w:val="16"/>
              </w:rPr>
            </w:pPr>
            <w:r w:rsidRPr="003F6FE5">
              <w:rPr>
                <w:sz w:val="16"/>
                <w:szCs w:val="16"/>
              </w:rPr>
              <w:t>DETERMINA</w:t>
            </w:r>
          </w:p>
          <w:p w:rsidR="00DF771E" w:rsidRPr="003F6FE5" w:rsidRDefault="00DF771E" w:rsidP="00A3347D">
            <w:pPr>
              <w:jc w:val="center"/>
              <w:rPr>
                <w:sz w:val="16"/>
                <w:szCs w:val="16"/>
              </w:rPr>
            </w:pPr>
          </w:p>
          <w:p w:rsidR="00DF771E" w:rsidRPr="003F6FE5" w:rsidRDefault="00DF771E" w:rsidP="00DF771E">
            <w:pPr>
              <w:pStyle w:val="Paragrafoelenco"/>
              <w:numPr>
                <w:ilvl w:val="0"/>
                <w:numId w:val="8"/>
              </w:numPr>
              <w:ind w:left="426"/>
              <w:jc w:val="both"/>
              <w:rPr>
                <w:sz w:val="16"/>
                <w:szCs w:val="16"/>
              </w:rPr>
            </w:pPr>
            <w:r w:rsidRPr="003F6FE5">
              <w:rPr>
                <w:sz w:val="16"/>
                <w:szCs w:val="16"/>
              </w:rPr>
              <w:t>Di procedere, a decorrere dall’anno 2014, alla riscossione diretta della TARI tramite modelli F24;</w:t>
            </w:r>
          </w:p>
          <w:p w:rsidR="00DF771E" w:rsidRPr="003F6FE5" w:rsidRDefault="00DF771E" w:rsidP="00A3347D">
            <w:pPr>
              <w:pStyle w:val="Paragrafoelenco"/>
              <w:ind w:left="426"/>
              <w:jc w:val="both"/>
              <w:rPr>
                <w:sz w:val="16"/>
                <w:szCs w:val="16"/>
              </w:rPr>
            </w:pPr>
          </w:p>
          <w:p w:rsidR="00DF771E" w:rsidRPr="003F6FE5" w:rsidRDefault="00DF771E" w:rsidP="00DF771E">
            <w:pPr>
              <w:pStyle w:val="Paragrafoelenco"/>
              <w:numPr>
                <w:ilvl w:val="0"/>
                <w:numId w:val="8"/>
              </w:numPr>
              <w:ind w:left="426"/>
              <w:jc w:val="both"/>
              <w:rPr>
                <w:sz w:val="16"/>
                <w:szCs w:val="16"/>
              </w:rPr>
            </w:pPr>
            <w:r w:rsidRPr="003F6FE5">
              <w:rPr>
                <w:sz w:val="16"/>
                <w:szCs w:val="16"/>
              </w:rPr>
              <w:t xml:space="preserve">Di approvare l’allegato schema di convenzione denominata “RISCOCOMUNI IUC-TARI” –  tra Poste Tributi </w:t>
            </w:r>
            <w:proofErr w:type="spellStart"/>
            <w:r w:rsidRPr="003F6FE5">
              <w:rPr>
                <w:sz w:val="16"/>
                <w:szCs w:val="16"/>
              </w:rPr>
              <w:t>S.c.p.a</w:t>
            </w:r>
            <w:proofErr w:type="spellEnd"/>
            <w:r w:rsidRPr="003F6FE5">
              <w:rPr>
                <w:sz w:val="16"/>
                <w:szCs w:val="16"/>
              </w:rPr>
              <w:t xml:space="preserve">., con sede legale in  Roma – Viale Europa 190 – P.I. 08886671000, ed il Comune di </w:t>
            </w:r>
            <w:proofErr w:type="spellStart"/>
            <w:r w:rsidRPr="003F6FE5">
              <w:rPr>
                <w:sz w:val="16"/>
                <w:szCs w:val="16"/>
              </w:rPr>
              <w:t>Tricase</w:t>
            </w:r>
            <w:proofErr w:type="spellEnd"/>
            <w:r w:rsidRPr="003F6FE5">
              <w:rPr>
                <w:sz w:val="16"/>
                <w:szCs w:val="16"/>
              </w:rPr>
              <w:t xml:space="preserve"> per l’espletamento delle attività a supporto della riscossione della TARI gestita direttamente dal Comune;</w:t>
            </w:r>
          </w:p>
          <w:p w:rsidR="00DF771E" w:rsidRPr="003F6FE5" w:rsidRDefault="00DF771E" w:rsidP="00A3347D">
            <w:pPr>
              <w:pStyle w:val="Paragrafoelenco"/>
              <w:rPr>
                <w:sz w:val="16"/>
                <w:szCs w:val="16"/>
              </w:rPr>
            </w:pPr>
          </w:p>
          <w:p w:rsidR="00DF771E" w:rsidRPr="003F6FE5" w:rsidRDefault="00DF771E" w:rsidP="00DF771E">
            <w:pPr>
              <w:pStyle w:val="Paragrafoelenco"/>
              <w:numPr>
                <w:ilvl w:val="0"/>
                <w:numId w:val="8"/>
              </w:numPr>
              <w:ind w:left="426"/>
              <w:jc w:val="both"/>
              <w:rPr>
                <w:sz w:val="16"/>
                <w:szCs w:val="16"/>
              </w:rPr>
            </w:pPr>
            <w:r w:rsidRPr="003F6FE5">
              <w:rPr>
                <w:sz w:val="16"/>
                <w:szCs w:val="16"/>
              </w:rPr>
              <w:t>Di convenire che la durata della convenzione “RISCOCOMUNI IUC-</w:t>
            </w:r>
            <w:r w:rsidRPr="003F6FE5">
              <w:rPr>
                <w:sz w:val="16"/>
                <w:szCs w:val="16"/>
              </w:rPr>
              <w:lastRenderedPageBreak/>
              <w:t>TARI”, ai sensi dell’art. 6 della stessa, avrà validità ed efficacia di 1 (uno) anno con decorrenza dalla data della sua sottoscrizione sino alla consegna dell’elenco dei contribuenti morosi e potrà essere rinnovata di anno in anno, espressamente mediante atto scritto;</w:t>
            </w:r>
          </w:p>
          <w:p w:rsidR="00DF771E" w:rsidRPr="003F6FE5" w:rsidRDefault="00DF771E" w:rsidP="00A3347D">
            <w:pPr>
              <w:rPr>
                <w:sz w:val="16"/>
                <w:szCs w:val="16"/>
              </w:rPr>
            </w:pPr>
          </w:p>
          <w:p w:rsidR="00DF771E" w:rsidRPr="003F6FE5" w:rsidRDefault="00DF771E" w:rsidP="00A3347D">
            <w:pPr>
              <w:rPr>
                <w:sz w:val="16"/>
                <w:szCs w:val="16"/>
              </w:rPr>
            </w:pPr>
            <w:r w:rsidRPr="003F6FE5">
              <w:rPr>
                <w:sz w:val="16"/>
                <w:szCs w:val="16"/>
              </w:rPr>
              <w:t>02)- Imputare la spesa PRESUNTA di €. 23.000,00  cap. 159 “spese riscossione TARI”.</w:t>
            </w:r>
          </w:p>
          <w:p w:rsidR="00DF771E" w:rsidRPr="003F6FE5" w:rsidRDefault="00DF771E" w:rsidP="00A3347D">
            <w:pPr>
              <w:pStyle w:val="Titolo"/>
              <w:jc w:val="both"/>
              <w:rPr>
                <w:rFonts w:asciiTheme="minorHAnsi" w:hAnsiTheme="minorHAnsi" w:cs="Times New Roman"/>
                <w:sz w:val="16"/>
                <w:szCs w:val="16"/>
              </w:rPr>
            </w:pPr>
          </w:p>
        </w:tc>
        <w:tc>
          <w:tcPr>
            <w:tcW w:w="2061" w:type="dxa"/>
          </w:tcPr>
          <w:p w:rsidR="00DF771E" w:rsidRDefault="00DF771E"/>
        </w:tc>
        <w:tc>
          <w:tcPr>
            <w:tcW w:w="2061" w:type="dxa"/>
          </w:tcPr>
          <w:p w:rsidR="00DF771E" w:rsidRDefault="00DF771E"/>
        </w:tc>
      </w:tr>
    </w:tbl>
    <w:p w:rsidR="00B75C24" w:rsidRDefault="00B75C24"/>
    <w:sectPr w:rsidR="00B75C24" w:rsidSect="00B75C24">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JKGF G+ 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4A5B"/>
    <w:multiLevelType w:val="hybridMultilevel"/>
    <w:tmpl w:val="579C5EE2"/>
    <w:lvl w:ilvl="0" w:tplc="E0F6DAE6">
      <w:start w:val="1"/>
      <w:numFmt w:val="decimal"/>
      <w:lvlText w:val="%1."/>
      <w:lvlJc w:val="left"/>
      <w:pPr>
        <w:ind w:left="720" w:hanging="360"/>
      </w:pPr>
      <w:rPr>
        <w:rFonts w:cs="Times New Roman"/>
        <w:sz w:val="22"/>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
    <w:nsid w:val="039F2896"/>
    <w:multiLevelType w:val="hybridMultilevel"/>
    <w:tmpl w:val="480AFC8E"/>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75B4431"/>
    <w:multiLevelType w:val="hybridMultilevel"/>
    <w:tmpl w:val="DA5802B0"/>
    <w:lvl w:ilvl="0" w:tplc="846EF606">
      <w:start w:val="2"/>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8A1058F"/>
    <w:multiLevelType w:val="hybridMultilevel"/>
    <w:tmpl w:val="DBE813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4A054D6"/>
    <w:multiLevelType w:val="hybridMultilevel"/>
    <w:tmpl w:val="9A3454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78F1C4D"/>
    <w:multiLevelType w:val="hybridMultilevel"/>
    <w:tmpl w:val="579C5EE2"/>
    <w:lvl w:ilvl="0" w:tplc="E0F6DAE6">
      <w:start w:val="1"/>
      <w:numFmt w:val="decimal"/>
      <w:lvlText w:val="%1."/>
      <w:lvlJc w:val="left"/>
      <w:pPr>
        <w:ind w:left="720" w:hanging="360"/>
      </w:pPr>
      <w:rPr>
        <w:rFonts w:cs="Times New Roman"/>
        <w:sz w:val="22"/>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6">
    <w:nsid w:val="41646B52"/>
    <w:multiLevelType w:val="hybridMultilevel"/>
    <w:tmpl w:val="FDD0CC6A"/>
    <w:lvl w:ilvl="0" w:tplc="0D943EBC">
      <w:numFmt w:val="bullet"/>
      <w:lvlText w:val="-"/>
      <w:lvlJc w:val="left"/>
      <w:pPr>
        <w:ind w:left="36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3"/>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useFELayout/>
  </w:compat>
  <w:rsids>
    <w:rsidRoot w:val="00B75C24"/>
    <w:rsid w:val="000E65CA"/>
    <w:rsid w:val="0022576D"/>
    <w:rsid w:val="00444E4F"/>
    <w:rsid w:val="004837EB"/>
    <w:rsid w:val="005A6406"/>
    <w:rsid w:val="005C1980"/>
    <w:rsid w:val="005E4098"/>
    <w:rsid w:val="006A13E9"/>
    <w:rsid w:val="00714FFB"/>
    <w:rsid w:val="0085031C"/>
    <w:rsid w:val="009A497C"/>
    <w:rsid w:val="00A248DA"/>
    <w:rsid w:val="00A27DF6"/>
    <w:rsid w:val="00A30A92"/>
    <w:rsid w:val="00A96B3C"/>
    <w:rsid w:val="00AD4414"/>
    <w:rsid w:val="00B6340C"/>
    <w:rsid w:val="00B75C24"/>
    <w:rsid w:val="00C14E96"/>
    <w:rsid w:val="00CC0DC9"/>
    <w:rsid w:val="00CC2A89"/>
    <w:rsid w:val="00D86219"/>
    <w:rsid w:val="00D9579C"/>
    <w:rsid w:val="00DA7E22"/>
    <w:rsid w:val="00DF771E"/>
    <w:rsid w:val="00E40EA8"/>
    <w:rsid w:val="00E87463"/>
    <w:rsid w:val="00EF599E"/>
    <w:rsid w:val="00F273CA"/>
    <w:rsid w:val="00F42F8B"/>
    <w:rsid w:val="00F57D62"/>
    <w:rsid w:val="00F951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579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75C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99"/>
    <w:qFormat/>
    <w:rsid w:val="005E4098"/>
    <w:pPr>
      <w:ind w:left="720"/>
      <w:contextualSpacing/>
    </w:pPr>
  </w:style>
  <w:style w:type="paragraph" w:styleId="Titolo">
    <w:name w:val="Title"/>
    <w:basedOn w:val="Normale"/>
    <w:link w:val="TitoloCarattere"/>
    <w:uiPriority w:val="99"/>
    <w:qFormat/>
    <w:rsid w:val="00F273CA"/>
    <w:pPr>
      <w:spacing w:after="0" w:line="240" w:lineRule="auto"/>
      <w:jc w:val="center"/>
    </w:pPr>
    <w:rPr>
      <w:rFonts w:ascii="Arial" w:eastAsia="SimSun" w:hAnsi="Arial" w:cs="Arial"/>
      <w:sz w:val="24"/>
      <w:szCs w:val="24"/>
    </w:rPr>
  </w:style>
  <w:style w:type="character" w:customStyle="1" w:styleId="TitoloCarattere">
    <w:name w:val="Titolo Carattere"/>
    <w:basedOn w:val="Carpredefinitoparagrafo"/>
    <w:link w:val="Titolo"/>
    <w:uiPriority w:val="99"/>
    <w:rsid w:val="00F273CA"/>
    <w:rPr>
      <w:rFonts w:ascii="Arial" w:eastAsia="SimSun" w:hAnsi="Arial" w:cs="Arial"/>
      <w:sz w:val="24"/>
      <w:szCs w:val="24"/>
    </w:rPr>
  </w:style>
  <w:style w:type="paragraph" w:customStyle="1" w:styleId="CM9">
    <w:name w:val="CM9"/>
    <w:basedOn w:val="Normale"/>
    <w:next w:val="Normale"/>
    <w:uiPriority w:val="99"/>
    <w:rsid w:val="00EF599E"/>
    <w:pPr>
      <w:widowControl w:val="0"/>
      <w:autoSpaceDE w:val="0"/>
      <w:autoSpaceDN w:val="0"/>
      <w:adjustRightInd w:val="0"/>
      <w:spacing w:after="0" w:line="240" w:lineRule="auto"/>
    </w:pPr>
    <w:rPr>
      <w:rFonts w:ascii="MJKGF G+ Verdana," w:eastAsia="Times New Roman" w:hAnsi="MJKGF G+ Verdana," w:cs="Times New Roman"/>
      <w:sz w:val="24"/>
      <w:szCs w:val="24"/>
    </w:rPr>
  </w:style>
  <w:style w:type="paragraph" w:styleId="Testonormale">
    <w:name w:val="Plain Text"/>
    <w:basedOn w:val="Normale"/>
    <w:link w:val="TestonormaleCarattere"/>
    <w:uiPriority w:val="99"/>
    <w:rsid w:val="00EF599E"/>
    <w:pPr>
      <w:spacing w:after="0" w:line="240" w:lineRule="auto"/>
    </w:pPr>
    <w:rPr>
      <w:rFonts w:ascii="Courier New" w:eastAsia="SimSun" w:hAnsi="Courier New" w:cs="Courier New"/>
      <w:sz w:val="20"/>
      <w:szCs w:val="20"/>
    </w:rPr>
  </w:style>
  <w:style w:type="character" w:customStyle="1" w:styleId="TestonormaleCarattere">
    <w:name w:val="Testo normale Carattere"/>
    <w:basedOn w:val="Carpredefinitoparagrafo"/>
    <w:link w:val="Testonormale"/>
    <w:uiPriority w:val="99"/>
    <w:rsid w:val="00EF599E"/>
    <w:rPr>
      <w:rFonts w:ascii="Courier New" w:eastAsia="SimSu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636</Words>
  <Characters>3630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14</cp:revision>
  <cp:lastPrinted>2014-08-26T08:40:00Z</cp:lastPrinted>
  <dcterms:created xsi:type="dcterms:W3CDTF">2014-12-03T11:25:00Z</dcterms:created>
  <dcterms:modified xsi:type="dcterms:W3CDTF">2015-03-25T14:40:00Z</dcterms:modified>
</cp:coreProperties>
</file>