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C" w:rsidRPr="00EC0E5D" w:rsidRDefault="005E4098">
      <w:pPr>
        <w:rPr>
          <w:b/>
          <w:sz w:val="24"/>
          <w:szCs w:val="24"/>
        </w:rPr>
      </w:pPr>
      <w:r w:rsidRPr="00EC0E5D">
        <w:rPr>
          <w:b/>
          <w:sz w:val="24"/>
          <w:szCs w:val="24"/>
        </w:rPr>
        <w:t>E</w:t>
      </w:r>
      <w:r w:rsidR="002A578D" w:rsidRPr="00EC0E5D">
        <w:rPr>
          <w:b/>
          <w:sz w:val="24"/>
          <w:szCs w:val="24"/>
        </w:rPr>
        <w:t xml:space="preserve">lenco </w:t>
      </w:r>
      <w:r w:rsidR="009A497C" w:rsidRPr="00EC0E5D">
        <w:rPr>
          <w:b/>
          <w:sz w:val="24"/>
          <w:szCs w:val="24"/>
        </w:rPr>
        <w:t xml:space="preserve"> </w:t>
      </w:r>
      <w:r w:rsidR="00D130E3" w:rsidRPr="00EC0E5D">
        <w:rPr>
          <w:b/>
          <w:sz w:val="24"/>
          <w:szCs w:val="24"/>
        </w:rPr>
        <w:t>2</w:t>
      </w:r>
      <w:r w:rsidR="007E6DB8" w:rsidRPr="00EC0E5D">
        <w:rPr>
          <w:b/>
          <w:sz w:val="24"/>
          <w:szCs w:val="24"/>
        </w:rPr>
        <w:t xml:space="preserve">° semestre 2015 </w:t>
      </w:r>
      <w:r w:rsidR="002A578D" w:rsidRPr="00EC0E5D">
        <w:rPr>
          <w:b/>
          <w:sz w:val="24"/>
          <w:szCs w:val="24"/>
        </w:rPr>
        <w:t xml:space="preserve"> </w:t>
      </w:r>
      <w:r w:rsidR="00710517" w:rsidRPr="00EC0E5D">
        <w:rPr>
          <w:b/>
          <w:sz w:val="24"/>
          <w:szCs w:val="24"/>
        </w:rPr>
        <w:t xml:space="preserve">delle </w:t>
      </w:r>
      <w:proofErr w:type="spellStart"/>
      <w:r w:rsidR="00710517" w:rsidRPr="00EC0E5D">
        <w:rPr>
          <w:b/>
          <w:sz w:val="24"/>
          <w:szCs w:val="24"/>
        </w:rPr>
        <w:t>determine</w:t>
      </w:r>
      <w:proofErr w:type="spellEnd"/>
      <w:r w:rsidR="00710517" w:rsidRPr="00EC0E5D">
        <w:rPr>
          <w:b/>
          <w:sz w:val="24"/>
          <w:szCs w:val="24"/>
        </w:rPr>
        <w:t xml:space="preserve"> adottate</w:t>
      </w:r>
      <w:r w:rsidRPr="00EC0E5D">
        <w:rPr>
          <w:b/>
          <w:sz w:val="24"/>
          <w:szCs w:val="24"/>
        </w:rPr>
        <w:t xml:space="preserve"> da</w:t>
      </w:r>
      <w:r w:rsidR="00A30A92" w:rsidRPr="00EC0E5D">
        <w:rPr>
          <w:b/>
          <w:sz w:val="24"/>
          <w:szCs w:val="24"/>
        </w:rPr>
        <w:t>l Responsa</w:t>
      </w:r>
      <w:r w:rsidR="00346301" w:rsidRPr="00EC0E5D">
        <w:rPr>
          <w:b/>
          <w:sz w:val="24"/>
          <w:szCs w:val="24"/>
        </w:rPr>
        <w:t xml:space="preserve">bile del Settore Ambiente </w:t>
      </w:r>
      <w:r w:rsidR="00C60352" w:rsidRPr="00EC0E5D">
        <w:rPr>
          <w:b/>
          <w:sz w:val="24"/>
          <w:szCs w:val="24"/>
        </w:rPr>
        <w:t xml:space="preserve"> - Manutenzione – Espropri – Energie </w:t>
      </w:r>
      <w:r w:rsidR="0022576D" w:rsidRPr="00EC0E5D">
        <w:rPr>
          <w:b/>
          <w:sz w:val="24"/>
          <w:szCs w:val="24"/>
        </w:rPr>
        <w:t xml:space="preserve"> </w:t>
      </w:r>
      <w:r w:rsidRPr="00EC0E5D">
        <w:rPr>
          <w:b/>
          <w:sz w:val="24"/>
          <w:szCs w:val="24"/>
        </w:rPr>
        <w:t>che si riferiscono a:</w:t>
      </w:r>
    </w:p>
    <w:p w:rsidR="005E4098" w:rsidRPr="00EC0E5D" w:rsidRDefault="005E4098" w:rsidP="005E4098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EC0E5D">
        <w:rPr>
          <w:b/>
          <w:sz w:val="24"/>
          <w:szCs w:val="24"/>
        </w:rPr>
        <w:t>Autorizzazioni e concessioni</w:t>
      </w:r>
      <w:r w:rsidR="00E022C0" w:rsidRPr="00EC0E5D">
        <w:rPr>
          <w:b/>
          <w:sz w:val="24"/>
          <w:szCs w:val="24"/>
        </w:rPr>
        <w:t xml:space="preserve"> 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703"/>
        <w:gridCol w:w="1662"/>
        <w:gridCol w:w="1605"/>
        <w:gridCol w:w="1734"/>
        <w:gridCol w:w="3725"/>
        <w:gridCol w:w="1465"/>
        <w:gridCol w:w="2609"/>
      </w:tblGrid>
      <w:tr w:rsidR="00644E41" w:rsidRPr="0085031C" w:rsidTr="0070009E">
        <w:tc>
          <w:tcPr>
            <w:tcW w:w="1703" w:type="dxa"/>
          </w:tcPr>
          <w:p w:rsidR="00A30A92" w:rsidRPr="0085031C" w:rsidRDefault="007E6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</w:t>
            </w:r>
            <w:r w:rsidR="00346301">
              <w:rPr>
                <w:b/>
                <w:sz w:val="16"/>
                <w:szCs w:val="16"/>
              </w:rPr>
              <w:t>AMBIENTE</w:t>
            </w:r>
            <w:r w:rsidR="00C60352">
              <w:rPr>
                <w:b/>
                <w:sz w:val="16"/>
                <w:szCs w:val="16"/>
              </w:rPr>
              <w:t xml:space="preserve"> – MANUTENZIONE – ESPROPRI - ENERGIE</w:t>
            </w:r>
          </w:p>
        </w:tc>
        <w:tc>
          <w:tcPr>
            <w:tcW w:w="1662" w:type="dxa"/>
          </w:tcPr>
          <w:p w:rsidR="00B75C24" w:rsidRPr="0085031C" w:rsidRDefault="00A30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B75C24" w:rsidRPr="0085031C">
              <w:rPr>
                <w:b/>
                <w:sz w:val="16"/>
                <w:szCs w:val="16"/>
              </w:rPr>
              <w:t>ATTO</w:t>
            </w:r>
            <w:r w:rsidR="0022576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5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734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725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465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609" w:type="dxa"/>
          </w:tcPr>
          <w:p w:rsidR="00B75C24" w:rsidRPr="0085031C" w:rsidRDefault="00B75C2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</w:t>
            </w:r>
            <w:r w:rsidR="005E4098" w:rsidRPr="0085031C">
              <w:rPr>
                <w:b/>
                <w:sz w:val="16"/>
                <w:szCs w:val="16"/>
              </w:rPr>
              <w:t xml:space="preserve">OLO </w:t>
            </w:r>
            <w:r w:rsidRPr="0085031C">
              <w:rPr>
                <w:b/>
                <w:sz w:val="16"/>
                <w:szCs w:val="16"/>
              </w:rPr>
              <w:t>RELATIVO AL PROCEDIMENTO</w:t>
            </w:r>
          </w:p>
        </w:tc>
      </w:tr>
      <w:tr w:rsidR="00644E41" w:rsidRPr="00AF0C9C" w:rsidTr="0070009E">
        <w:tc>
          <w:tcPr>
            <w:tcW w:w="1703" w:type="dxa"/>
          </w:tcPr>
          <w:p w:rsidR="00B75C24" w:rsidRPr="00AF0C9C" w:rsidRDefault="007E6DB8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C67AF7" w:rsidRPr="00AF0C9C" w:rsidRDefault="00C67AF7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662" w:type="dxa"/>
          </w:tcPr>
          <w:p w:rsidR="00B75C24" w:rsidRPr="00AF0C9C" w:rsidRDefault="00346301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</w:t>
            </w:r>
          </w:p>
        </w:tc>
        <w:tc>
          <w:tcPr>
            <w:tcW w:w="1605" w:type="dxa"/>
          </w:tcPr>
          <w:p w:rsidR="00B75C24" w:rsidRPr="00AF0C9C" w:rsidRDefault="00D130E3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n.921 dell’1.10.2015</w:t>
            </w:r>
          </w:p>
        </w:tc>
        <w:tc>
          <w:tcPr>
            <w:tcW w:w="1734" w:type="dxa"/>
          </w:tcPr>
          <w:p w:rsidR="00B75C24" w:rsidRPr="00AF0C9C" w:rsidRDefault="00D130E3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CONCESSIONE SUOLO PUBBLICO</w:t>
            </w:r>
          </w:p>
        </w:tc>
        <w:tc>
          <w:tcPr>
            <w:tcW w:w="3725" w:type="dxa"/>
          </w:tcPr>
          <w:p w:rsidR="00346301" w:rsidRPr="00AF0C9C" w:rsidRDefault="00D130E3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[…]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 Atteso: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 che il Consiglio  Comunale, nel rispetto di quanto previsto dalla 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n. 18/2001, art. 13, ha approvato in data 29.11.2002, con deliberazione  n. 67, il Piano Comunale   per  l’esercizio  del Commercio su aree pubbliche; 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 che ai sensi dell’art. 25 del suddetto Piano  l’assegnazione dei posteggi  fuori mercato liberi nel Capoluogo e Frazioni deve avvenire mediante pubblicazione di bando contenente i seguenti parametri di valutazione: 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Stato di disoccupazione;</w:t>
            </w:r>
          </w:p>
          <w:p w:rsidR="00D130E3" w:rsidRPr="00AF0C9C" w:rsidRDefault="00D130E3" w:rsidP="00D130E3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Carichi famigliari;</w:t>
            </w:r>
          </w:p>
          <w:p w:rsidR="00D130E3" w:rsidRPr="00AF0C9C" w:rsidRDefault="00D130E3" w:rsidP="00D130E3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Maggiore anzianità di presenza sul posteggio;</w:t>
            </w:r>
          </w:p>
          <w:p w:rsidR="00D130E3" w:rsidRPr="00AF0C9C" w:rsidRDefault="00D130E3" w:rsidP="00D130E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Utilizzo di struttura rigida (chiosco) rispetto all’automezzo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Preso atto della delibera di G.C. n. 210 del 23.09.2014 con la quale viene assegnato in via provvisor</w:t>
            </w:r>
            <w:r w:rsidR="00D44B74">
              <w:rPr>
                <w:rFonts w:cs="Arial"/>
                <w:sz w:val="16"/>
                <w:szCs w:val="16"/>
              </w:rPr>
              <w:t xml:space="preserve">ia alla sig.ra </w:t>
            </w:r>
            <w:r w:rsidR="00697BD7" w:rsidRPr="00AF0C9C">
              <w:rPr>
                <w:rFonts w:cs="Arial"/>
                <w:sz w:val="16"/>
                <w:szCs w:val="16"/>
              </w:rPr>
              <w:t xml:space="preserve">[…] </w:t>
            </w:r>
            <w:r w:rsidRPr="00AF0C9C">
              <w:rPr>
                <w:rFonts w:cs="Arial"/>
                <w:sz w:val="16"/>
                <w:szCs w:val="16"/>
              </w:rPr>
              <w:t>il posteggio di piazza Martiri d’Otranto nel rione Sant’Eufemia;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in pedissequo adempimento di quanto disposto dalla predetta delibera giuntale;</w:t>
            </w:r>
          </w:p>
          <w:p w:rsidR="00D130E3" w:rsidRPr="00AF0C9C" w:rsidRDefault="00D130E3" w:rsidP="00D130E3">
            <w:pPr>
              <w:ind w:left="420"/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Eseguito con esito favorevole il controllo preventivo di regolarità amministrativa del  presente atto avendo verificato: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numPr>
                <w:ilvl w:val="0"/>
                <w:numId w:val="4"/>
              </w:numPr>
              <w:jc w:val="both"/>
              <w:rPr>
                <w:rFonts w:cs="Arial"/>
                <w:i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 xml:space="preserve">Rispetto delle normative comunitarie, statali, regionali e regolamentari, generali e di </w:t>
            </w:r>
            <w:r w:rsidRPr="00AF0C9C">
              <w:rPr>
                <w:rFonts w:cs="Arial"/>
                <w:i/>
                <w:sz w:val="16"/>
                <w:szCs w:val="16"/>
              </w:rPr>
              <w:lastRenderedPageBreak/>
              <w:t>settore;</w:t>
            </w:r>
          </w:p>
          <w:p w:rsidR="00D130E3" w:rsidRPr="00AF0C9C" w:rsidRDefault="00D130E3" w:rsidP="00D130E3">
            <w:pPr>
              <w:numPr>
                <w:ilvl w:val="0"/>
                <w:numId w:val="4"/>
              </w:numPr>
              <w:jc w:val="both"/>
              <w:rPr>
                <w:rFonts w:cs="Arial"/>
                <w:i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>Correttezza e regolarità della procedura;</w:t>
            </w:r>
          </w:p>
          <w:p w:rsidR="00D130E3" w:rsidRPr="00AF0C9C" w:rsidRDefault="00D130E3" w:rsidP="00D130E3">
            <w:pPr>
              <w:numPr>
                <w:ilvl w:val="0"/>
                <w:numId w:val="4"/>
              </w:numPr>
              <w:jc w:val="both"/>
              <w:rPr>
                <w:rFonts w:cs="Arial"/>
                <w:i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>Correttezza formale nella redazione dell’atto;</w:t>
            </w:r>
          </w:p>
          <w:p w:rsidR="00D130E3" w:rsidRPr="00AF0C9C" w:rsidRDefault="00D130E3" w:rsidP="00D130E3">
            <w:pPr>
              <w:ind w:left="180"/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ind w:left="180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Acquisito il seguente parere sulla regolarità contabile espresso dal Responsabili dei Servizi Finanziari: “ favorevole”;</w:t>
            </w:r>
          </w:p>
          <w:p w:rsidR="00D130E3" w:rsidRPr="00AF0C9C" w:rsidRDefault="00D130E3" w:rsidP="00D130E3">
            <w:pPr>
              <w:ind w:left="180"/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Visto il Regolamento delle attività commerciali su aree pubbliche;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Vista la L. R. 18/01;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     Visto il D.lgs. n. 267/00;</w:t>
            </w:r>
          </w:p>
          <w:p w:rsidR="00D130E3" w:rsidRPr="00AF0C9C" w:rsidRDefault="00D130E3" w:rsidP="00D130E3">
            <w:pPr>
              <w:jc w:val="center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 E T E R M I N A</w:t>
            </w:r>
          </w:p>
          <w:p w:rsidR="00D130E3" w:rsidRPr="00AF0C9C" w:rsidRDefault="00D130E3" w:rsidP="00D130E3">
            <w:pPr>
              <w:rPr>
                <w:rFonts w:cs="Arial"/>
                <w:sz w:val="16"/>
                <w:szCs w:val="16"/>
              </w:rPr>
            </w:pPr>
          </w:p>
          <w:p w:rsidR="00D130E3" w:rsidRPr="00AF0C9C" w:rsidRDefault="00D130E3" w:rsidP="00D130E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per le ragioni espresse in narrativa ed in pedissequo adempimento della delibera G.C. n.210 del 23.09.2014, concede</w:t>
            </w:r>
            <w:r w:rsidR="00D44B74">
              <w:rPr>
                <w:rFonts w:cs="Arial"/>
                <w:sz w:val="16"/>
                <w:szCs w:val="16"/>
              </w:rPr>
              <w:t xml:space="preserve">re alla Sig.ra </w:t>
            </w:r>
            <w:r w:rsidR="00697BD7" w:rsidRPr="00AF0C9C">
              <w:rPr>
                <w:rFonts w:cs="Arial"/>
                <w:sz w:val="16"/>
                <w:szCs w:val="16"/>
              </w:rPr>
              <w:t>[…]</w:t>
            </w:r>
            <w:r w:rsidRPr="00AF0C9C">
              <w:rPr>
                <w:rFonts w:cs="Arial"/>
                <w:sz w:val="16"/>
                <w:szCs w:val="16"/>
              </w:rPr>
              <w:t xml:space="preserve"> l’occupazione dell’area pubblica di piazza Martiri d’Otranto, nel rione Sant’Eufemia, dove attualmente è ubicato il chiosco di proprietà della stessa;</w:t>
            </w:r>
          </w:p>
          <w:p w:rsidR="00D130E3" w:rsidRPr="00AF0C9C" w:rsidRDefault="00D130E3" w:rsidP="00D130E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la predetta concessione è sottoposta a tutte le disposizioni previste dal regolamento comunale approvato con delibera C.C. n. 67/2002, ivi incluso il pagamento del canone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Cosap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 vigente;</w:t>
            </w:r>
          </w:p>
          <w:p w:rsidR="00D130E3" w:rsidRPr="00AF0C9C" w:rsidRDefault="00D130E3" w:rsidP="00D130E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AF0C9C">
              <w:rPr>
                <w:rFonts w:cs="Arial"/>
                <w:sz w:val="16"/>
                <w:szCs w:val="16"/>
              </w:rPr>
              <w:t>l’ Amministrazione   può   revocare  o  modificare   in   qualsiasi  momento, senza  alcun  obbligo</w:t>
            </w:r>
          </w:p>
          <w:p w:rsidR="00D130E3" w:rsidRPr="00AF0C9C" w:rsidRDefault="00D130E3" w:rsidP="00D130E3">
            <w:pPr>
              <w:pStyle w:val="Paragrafoelenco"/>
              <w:ind w:left="900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  d’indennizzo, il provvedimento di concessione qualora sopravvengono motivi di pubblico interesse  che rendano non più possibile o diversamente realizzabile l’occupazione.</w:t>
            </w:r>
          </w:p>
          <w:p w:rsidR="00D130E3" w:rsidRPr="00AF0C9C" w:rsidRDefault="00D130E3">
            <w:pPr>
              <w:rPr>
                <w:sz w:val="16"/>
                <w:szCs w:val="16"/>
              </w:rPr>
            </w:pPr>
          </w:p>
          <w:p w:rsidR="00D130E3" w:rsidRPr="00AF0C9C" w:rsidRDefault="00D130E3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[…]</w:t>
            </w:r>
          </w:p>
        </w:tc>
        <w:tc>
          <w:tcPr>
            <w:tcW w:w="1465" w:type="dxa"/>
          </w:tcPr>
          <w:p w:rsidR="00B75C24" w:rsidRPr="00AF0C9C" w:rsidRDefault="00B75C24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</w:tcPr>
          <w:p w:rsidR="00B75C24" w:rsidRPr="00AF0C9C" w:rsidRDefault="00697BD7">
            <w:pPr>
              <w:rPr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delibera di G.C. n. 210 del 23.09.2014</w:t>
            </w:r>
          </w:p>
        </w:tc>
      </w:tr>
      <w:tr w:rsidR="00644E41" w:rsidRPr="00AF0C9C" w:rsidTr="0070009E">
        <w:tc>
          <w:tcPr>
            <w:tcW w:w="1703" w:type="dxa"/>
          </w:tcPr>
          <w:p w:rsidR="00B75C24" w:rsidRPr="00AF0C9C" w:rsidRDefault="00E72D4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lastRenderedPageBreak/>
              <w:t>Responsabile del Servizio</w:t>
            </w:r>
          </w:p>
          <w:p w:rsidR="00277602" w:rsidRPr="00AF0C9C" w:rsidRDefault="00277602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662" w:type="dxa"/>
          </w:tcPr>
          <w:p w:rsidR="00B75C24" w:rsidRPr="00AF0C9C" w:rsidRDefault="00853692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Determinazione</w:t>
            </w:r>
          </w:p>
        </w:tc>
        <w:tc>
          <w:tcPr>
            <w:tcW w:w="1605" w:type="dxa"/>
          </w:tcPr>
          <w:p w:rsidR="00B75C24" w:rsidRPr="00AF0C9C" w:rsidRDefault="00C25577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n.954 del 12.10.2015</w:t>
            </w:r>
          </w:p>
        </w:tc>
        <w:tc>
          <w:tcPr>
            <w:tcW w:w="1734" w:type="dxa"/>
          </w:tcPr>
          <w:p w:rsidR="00B75C24" w:rsidRPr="00AF0C9C" w:rsidRDefault="00C25577" w:rsidP="00853692">
            <w:pPr>
              <w:ind w:left="284" w:hanging="284"/>
              <w:jc w:val="both"/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 xml:space="preserve">Provvedimento </w:t>
            </w:r>
            <w:proofErr w:type="spellStart"/>
            <w:r w:rsidRPr="00AF0C9C">
              <w:rPr>
                <w:sz w:val="16"/>
                <w:szCs w:val="16"/>
              </w:rPr>
              <w:t>Autorizzativo</w:t>
            </w:r>
            <w:proofErr w:type="spellEnd"/>
            <w:r w:rsidRPr="00AF0C9C">
              <w:rPr>
                <w:sz w:val="16"/>
                <w:szCs w:val="16"/>
              </w:rPr>
              <w:t xml:space="preserve"> Unico di cui all'art. 8 del D.P.R. 160/2010 per lavori di ristrutturazione ed ampliamento struttura ricettiva - </w:t>
            </w:r>
            <w:r w:rsidRPr="00AF0C9C">
              <w:rPr>
                <w:sz w:val="16"/>
                <w:szCs w:val="16"/>
              </w:rPr>
              <w:lastRenderedPageBreak/>
              <w:t>Procedimento di verifica di assoggettabilità a VAS - Conclusione degli adempimenti con determinazione di non assoggettabilità a VAS</w:t>
            </w:r>
          </w:p>
        </w:tc>
        <w:tc>
          <w:tcPr>
            <w:tcW w:w="3725" w:type="dxa"/>
          </w:tcPr>
          <w:p w:rsidR="00B75C24" w:rsidRPr="00AF0C9C" w:rsidRDefault="00C25577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lastRenderedPageBreak/>
              <w:t>[…]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 xml:space="preserve">Premesso che: 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con nota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4567 del 21 marzo 2014 il S</w:t>
            </w:r>
            <w:r w:rsidR="003672C0">
              <w:rPr>
                <w:rFonts w:cs="Arial"/>
                <w:sz w:val="16"/>
                <w:szCs w:val="16"/>
              </w:rPr>
              <w:t>ig. Esposito Vito, […]</w:t>
            </w:r>
            <w:r w:rsidRPr="00AF0C9C">
              <w:rPr>
                <w:rFonts w:cs="Arial"/>
                <w:sz w:val="16"/>
                <w:szCs w:val="16"/>
              </w:rPr>
              <w:t>, in qualità di proprietario della struttura ricettiva all’insegna “ Mamma li Turchi” sita in Tricase Po</w:t>
            </w:r>
            <w:r w:rsidR="003672C0">
              <w:rPr>
                <w:rFonts w:cs="Arial"/>
                <w:sz w:val="16"/>
                <w:szCs w:val="16"/>
              </w:rPr>
              <w:t>rto via Borgo Pescatori […]</w:t>
            </w:r>
            <w:r w:rsidRPr="00AF0C9C">
              <w:rPr>
                <w:rFonts w:cs="Arial"/>
                <w:sz w:val="16"/>
                <w:szCs w:val="16"/>
              </w:rPr>
              <w:t xml:space="preserve">, ha richiesto il Provvedimento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Autorizzativo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Unico di cui all’art. 8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Dpr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7 luglio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>2010 n°160, per la ristrutturazione e ampliamento del locale ristorante esistente e realizzazione di una struttura ricettiva annessa, al fine di potenziarne la finalità turistica da realizzarsi in adiacenza alla struttura esisten</w:t>
            </w:r>
            <w:r w:rsidR="00910A33">
              <w:rPr>
                <w:rFonts w:cs="Arial"/>
                <w:sz w:val="16"/>
                <w:szCs w:val="16"/>
              </w:rPr>
              <w:t xml:space="preserve">te sul terreno […] </w:t>
            </w:r>
            <w:r w:rsidRPr="00AF0C9C">
              <w:rPr>
                <w:rFonts w:cs="Arial"/>
                <w:sz w:val="16"/>
                <w:szCs w:val="16"/>
              </w:rPr>
              <w:t>della estensione complessiva di mq. 2201.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il progetto a firma del Geom. Rocco PICECI, iscritto all’albo dei Geometri della Provincia di Lecce al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2523, tecnico collaboratore Arch. Piera LICCHETTA, iscritto all’Ordine degli Architetti Pianificatori, Paesaggisti e Conservatori della Provincia di Lecce al n°1358, si compone dei seguenti elaborati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scripto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- grafici: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tecnica generale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01 -  Inquadramento territoriale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02 - Rilievo dello stato dei luoghi: Piante – Sezioni e Prospetti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03 – Progetto: Piante, sezioni, prospetti e dati tecnici;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Documentazione fotografica;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paesaggistica;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di compatibilità rispetto al PUTT/P E PPTR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tabs>
                <w:tab w:val="num" w:pos="1440"/>
              </w:tabs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Relazione geotecnica sulle indagini,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caraterizzazione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e modellazione del volume significativo di terreno di cui al par. 3.2 delle NCT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tabs>
                <w:tab w:val="num" w:pos="1440"/>
              </w:tabs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Indagine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geognostica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,  sismica e relazione geologico - tecnica (a firma dott. Geol. Marcello De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Donatis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>)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>Considerato che: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F0C9C">
              <w:rPr>
                <w:rFonts w:cs="Arial"/>
                <w:sz w:val="16"/>
                <w:szCs w:val="16"/>
              </w:rPr>
              <w:t xml:space="preserve">la richiesta di Provvedimento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Autorizzativo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Unico è stata formulata ai sensi dell’art. 8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Dpr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>. 7 luglio 2010 n°160 per la ristrutturazione e ampliamento di una struttura turistico ricettiva in variante allo strumento urbanistico con conseguente variazione nella zonizzazione dell’area di cui insisterà l’intervento;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l’intervento proposto comporta una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 xml:space="preserve">destinazione d’uso dell’area interessata, non compatibile con la tipizzazione E agricola della zona prevista nel P. di F. e di conseguenza, dovendo il progetto in questione essere approvato in variante alla strumentazione urbanistica vigente, risulta necessario attivare le procedure in materia ambientale contenute nel D.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Lgs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3 aprile 2006 n°152 e nella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14 dicembre 2012 n°44 , dato che la variante alla pianificazione urbanistica comunale mediante la procedura di cui all’art. 8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Dpr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7 luglio 2010 n°160 non risulta tra i casi di esclusione dal campo di applicazione della norma, elencati al comma 10 dell’art. 3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14 dicembre 2012 n°44.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in data 30/10/2013 è entrato in vigore il regolamento regionale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del 09/10/2013 pubblicato sul BURP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134 del 15/10/2013 che:</w:t>
            </w:r>
          </w:p>
          <w:p w:rsidR="00C25577" w:rsidRPr="00AF0C9C" w:rsidRDefault="00C25577" w:rsidP="00C2557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all’art. 7 individua i piani urbanistici comunali per i quali si ritengono assolti gli adempimenti in materia di VAS, fatto salvo il rispetto di specifiche condizioni, in esito alla conclusione della procedura di registrazione disciplinata al comma 4;</w:t>
            </w:r>
          </w:p>
          <w:p w:rsidR="00C25577" w:rsidRPr="00AF0C9C" w:rsidRDefault="00C25577" w:rsidP="00C25577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all’art. 7.4 stabilisce che ai fini della registrazione dei piani urbanistici comunali esclusi dalle procedure di VAS, individuati al comma 7.2: 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>l’autorità procedente:</w:t>
            </w:r>
            <w:r w:rsidRPr="00AF0C9C">
              <w:rPr>
                <w:rFonts w:cs="Arial"/>
                <w:sz w:val="16"/>
                <w:szCs w:val="16"/>
              </w:rPr>
              <w:t xml:space="preserve"> trasmette all’autorità competente un’attestazione della sussistenza delle specifiche condizioni di esclusione dalle procedure di VAS per un determinato piano urbanistico comunale allegando i documenti necessari allo svolgimento dell’eventuale verifica da parte dell’autorità competente;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i/>
                <w:sz w:val="16"/>
                <w:szCs w:val="16"/>
              </w:rPr>
              <w:t>l’autorità competente</w:t>
            </w:r>
            <w:r w:rsidRPr="00AF0C9C">
              <w:rPr>
                <w:rFonts w:cs="Arial"/>
                <w:i/>
                <w:sz w:val="16"/>
                <w:szCs w:val="16"/>
              </w:rPr>
              <w:t xml:space="preserve">: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>pubblica sul proprio sito informatico o, a far data dalla sua attivazione, sul Portale VAS previsto all’articolo 19 della legge VAS la documentazione relativa alla procedura di registrazione, inclusi i provvedimenti conclusivi della verifica di sussistenza delle condizioni di esclusione dalle procedure di VAS, prevista al comma 7.3;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>in caso di esito positivo</w:t>
            </w:r>
            <w:r w:rsidRPr="00AF0C9C">
              <w:rPr>
                <w:rFonts w:cs="Arial"/>
                <w:sz w:val="16"/>
                <w:szCs w:val="16"/>
              </w:rPr>
              <w:t>, conclude il procedimento di verifica di assoggettabilità applicando le pertinenti disposizioni dell’art. 7, e l’autorità procedente ne dà atto nei provvedimenti di adozione e approvazione definitiva dei piani urbanistici comunali;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i/>
                <w:sz w:val="16"/>
                <w:szCs w:val="16"/>
              </w:rPr>
              <w:t xml:space="preserve">in caso di esito negativo, </w:t>
            </w:r>
            <w:r w:rsidRPr="00AF0C9C">
              <w:rPr>
                <w:rFonts w:cs="Arial"/>
                <w:sz w:val="16"/>
                <w:szCs w:val="16"/>
              </w:rPr>
              <w:t>comunica all’autorità procedente che non sussistono le condizioni per l’applicazione dell’art. 7 e conclude il procedimento di verifica di assoggettabilità ai sensi del nor5me vigenti al momento del suo avvio.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AF0C9C">
              <w:rPr>
                <w:rFonts w:cs="Arial"/>
                <w:b/>
                <w:sz w:val="16"/>
                <w:szCs w:val="16"/>
              </w:rPr>
              <w:t>Visto allo scopo: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la nota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9372 del 18/06/2015 a firma del responsabile del settore Assetto e Gestione del territorio del Comune di Tricase con la quale viene richiesta in attuazione del regolamento regionale 9 ottobre 2013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l’applicazione dell’art. 7 comma 2 lett. e) al procedimento di verifica per la pratica di cui tratti;</w:t>
            </w: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la nota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11875 del 04/09/2015 a firma del Dirigente ad interim dell’Ufficio Programmazione, Politiche Energetiche, VIA e VAS della Regione Puglia – Area Politiche per la riqualificazione, la tutela e la sicurezza ambientale e per l’attuazione delle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 xml:space="preserve">opere pubbliche – Servizio Ecologia – Ufficio Programmazione, Politiche Energetiche, VIA e VAS con la quale viene comunicato che il piano di cui trattasi non è stato selezionato ai fini della verifica della sussistenza delle condizioni di esclusione prevista dal comma 7.3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r.r.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18/2013 e, pertanto, con conclusione della procedura di registrazione di cui al comma 7.4 del medesimo regolamento.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 xml:space="preserve">Ritenuto che </w:t>
            </w:r>
            <w:r w:rsidRPr="00AF0C9C">
              <w:rPr>
                <w:rFonts w:cs="Arial"/>
                <w:sz w:val="16"/>
                <w:szCs w:val="16"/>
              </w:rPr>
              <w:t xml:space="preserve">per quanto innanzi si ritengono assolti gli adempimenti in materia di Valutazione Ambientale Strategica e, di conseguenza, di poter escludere dall’assoggettabilità alla procedura VAS di cui agli artt. da 9-15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44/2012 la “Variante al P. di F. vigente per la ristrutturazione e ampliamento del locale ristorante esistente e realizzazione di una struttura ricettiva annessa” ai sensi dell’art. 76.2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lett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e)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r.r.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18/2013;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 xml:space="preserve">Accertata </w:t>
            </w:r>
            <w:r w:rsidRPr="00AF0C9C">
              <w:rPr>
                <w:rFonts w:cs="Arial"/>
                <w:sz w:val="16"/>
                <w:szCs w:val="16"/>
              </w:rPr>
              <w:t xml:space="preserve">la propria competenza in attuazione della deliberazione di Giunta Comunale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243 del 13/11/2014 che assegna al Settore Ambiente, Manutenzione, Espropri, Energie le competenze per l’espletamento dei procedimenti di verifica di assoggettabilità a VAS di cui all’art. </w:t>
            </w:r>
            <w:smartTag w:uri="urn:schemas-microsoft-com:office:smarttags" w:element="metricconverter">
              <w:smartTagPr>
                <w:attr w:name="ProductID" w:val="8 L"/>
              </w:smartTagPr>
              <w:r w:rsidRPr="00AF0C9C">
                <w:rPr>
                  <w:rFonts w:cs="Arial"/>
                  <w:sz w:val="16"/>
                  <w:szCs w:val="16"/>
                </w:rPr>
                <w:t xml:space="preserve">8 </w:t>
              </w:r>
              <w:proofErr w:type="spellStart"/>
              <w:r w:rsidRPr="00AF0C9C">
                <w:rPr>
                  <w:rFonts w:cs="Arial"/>
                  <w:sz w:val="16"/>
                  <w:szCs w:val="16"/>
                </w:rPr>
                <w:t>L</w:t>
              </w:r>
            </w:smartTag>
            <w:r w:rsidRPr="00AF0C9C">
              <w:rPr>
                <w:rFonts w:cs="Arial"/>
                <w:sz w:val="16"/>
                <w:szCs w:val="16"/>
              </w:rPr>
              <w:t>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44/2012 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ss.mm.ii.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per i piani o programmi approvati in via definitiva dai Comuni,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nonchè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per l’espletamento dei procedimenti di VAS di cui all’art. 9 e seguenti;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sz w:val="16"/>
                <w:szCs w:val="16"/>
              </w:rPr>
              <w:t xml:space="preserve">Visto </w:t>
            </w:r>
            <w:r w:rsidRPr="00AF0C9C">
              <w:rPr>
                <w:rFonts w:cs="Arial"/>
                <w:sz w:val="16"/>
                <w:szCs w:val="16"/>
              </w:rPr>
              <w:t xml:space="preserve">il D.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lgs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agosto 2000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267;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sz w:val="16"/>
                <w:szCs w:val="16"/>
              </w:rPr>
              <w:t xml:space="preserve">Vista </w:t>
            </w:r>
            <w:r w:rsidRPr="00AF0C9C">
              <w:rPr>
                <w:rFonts w:cs="Arial"/>
                <w:sz w:val="16"/>
                <w:szCs w:val="16"/>
              </w:rPr>
              <w:t xml:space="preserve">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14 dicembre 2012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 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ss.mm.ii.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>;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b/>
                <w:sz w:val="16"/>
                <w:szCs w:val="16"/>
              </w:rPr>
              <w:t xml:space="preserve">Visto </w:t>
            </w:r>
            <w:r w:rsidRPr="00AF0C9C">
              <w:rPr>
                <w:rFonts w:cs="Arial"/>
                <w:sz w:val="16"/>
                <w:szCs w:val="16"/>
              </w:rPr>
              <w:t xml:space="preserve">il R.R.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del 09/10/2013;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0C9C">
              <w:rPr>
                <w:rFonts w:cs="Arial"/>
                <w:b/>
                <w:bCs/>
                <w:sz w:val="16"/>
                <w:szCs w:val="16"/>
              </w:rPr>
              <w:t>D E T E R M I N A</w:t>
            </w:r>
          </w:p>
          <w:p w:rsidR="00C25577" w:rsidRPr="00AF0C9C" w:rsidRDefault="00C25577" w:rsidP="00C255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C25577" w:rsidRPr="00AF0C9C" w:rsidRDefault="00C25577" w:rsidP="00C255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Di dichiarare le premesse, che qui si intendono integralmente riportate, parte integrante del presente provvedimento;</w:t>
            </w:r>
          </w:p>
          <w:p w:rsidR="00C25577" w:rsidRPr="00AF0C9C" w:rsidRDefault="00C25577" w:rsidP="00C255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Di dichiarare assolti gli adempimenti in materia di Valutazione Ambientale Strategica e, conseguentemente, di escludere dall’assoggettabilità alla procedura di VAS di cui agli articoli da 9-15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44/2012 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s.m.i.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la “ Variante al P. di F. vigente per ristrutturazione ed ampliamento del locale ristorante esistente, denominato “Mamma li Turchi”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 xml:space="preserve">e realizzazione di una struttura ricettiva annessa, al fine di potenziarne la finalità turistica “ ai sensi dell’art. 7.2 lett. e) del Regolamento Regionale 9 ottobre 2013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“ </w:t>
            </w:r>
            <w:r w:rsidRPr="00AF0C9C">
              <w:rPr>
                <w:rFonts w:cs="Arial"/>
                <w:i/>
                <w:sz w:val="16"/>
                <w:szCs w:val="16"/>
              </w:rPr>
              <w:t xml:space="preserve">Regolamento di attuazione della legge regionale 14 dicembre 2012 </w:t>
            </w:r>
            <w:proofErr w:type="spellStart"/>
            <w:r w:rsidRPr="00AF0C9C">
              <w:rPr>
                <w:rFonts w:cs="Arial"/>
                <w:i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i/>
                <w:sz w:val="16"/>
                <w:szCs w:val="16"/>
              </w:rPr>
              <w:t xml:space="preserve"> 44 (disciplina regionale in materia di valutazione ambientale strategica ), concernente piani e programmi urbanistici comunali”</w:t>
            </w:r>
          </w:p>
          <w:p w:rsidR="00C25577" w:rsidRPr="00AF0C9C" w:rsidRDefault="00C25577" w:rsidP="00C255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di dare atto ai sensi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12 febbraio 2014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 che: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Il soggetto proponente è</w:t>
            </w:r>
            <w:r w:rsidR="003672C0">
              <w:rPr>
                <w:rFonts w:cs="Arial"/>
                <w:sz w:val="16"/>
                <w:szCs w:val="16"/>
              </w:rPr>
              <w:t xml:space="preserve"> il Sig. Esposito Vito, […]</w:t>
            </w:r>
            <w:r w:rsidRPr="00AF0C9C">
              <w:rPr>
                <w:rFonts w:cs="Arial"/>
                <w:sz w:val="16"/>
                <w:szCs w:val="16"/>
              </w:rPr>
              <w:t>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L’autorità procedente è il SUAP del Comune di Tricase;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L’autorità competente a seguito dell’intervenuta delega regionale delle competenze e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D.G.M.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243 del 13/11/2014, è il Settore  Ambiente, Manutenzione, Espropri, Energie</w:t>
            </w:r>
          </w:p>
          <w:p w:rsidR="00C25577" w:rsidRPr="00AF0C9C" w:rsidRDefault="00C25577" w:rsidP="00C255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di trasmettere il presente provvedimento: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al proponente l’intervento sig. Esposito Vito in premessa generalizzato;</w:t>
            </w:r>
          </w:p>
          <w:p w:rsidR="00C25577" w:rsidRPr="00AF0C9C" w:rsidRDefault="00C25577" w:rsidP="00C2557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ed in formato digitale: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Alla Regione Puglia Servizio ecologia politiche energetiche VIA e VAS</w:t>
            </w:r>
          </w:p>
          <w:p w:rsidR="00C25577" w:rsidRPr="00AF0C9C" w:rsidRDefault="00C25577" w:rsidP="00C255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di disporre la pubblicazione del presente atto: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All’Albo pretorio del Comune;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Sul bollettino ufficiale della Regione Puglia;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Sul portale ambientale dell’assessorato alla qualità dell’ambiente e/o sul portale VAS previsto dall’art. 19 della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L.R.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14 dicembre 2012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44</w:t>
            </w:r>
          </w:p>
          <w:p w:rsidR="00C25577" w:rsidRPr="00AF0C9C" w:rsidRDefault="00C25577" w:rsidP="00C25577">
            <w:pPr>
              <w:numPr>
                <w:ilvl w:val="3"/>
                <w:numId w:val="7"/>
              </w:numPr>
              <w:tabs>
                <w:tab w:val="left" w:pos="1440"/>
                <w:tab w:val="num" w:pos="1980"/>
              </w:tabs>
              <w:autoSpaceDE w:val="0"/>
              <w:autoSpaceDN w:val="0"/>
              <w:adjustRightInd w:val="0"/>
              <w:ind w:left="1620" w:hanging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sul sito Internet del Comune di Tricase;</w:t>
            </w:r>
          </w:p>
          <w:p w:rsidR="00C25577" w:rsidRPr="00AF0C9C" w:rsidRDefault="00C25577" w:rsidP="00C25577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C25577" w:rsidRPr="00AF0C9C" w:rsidRDefault="00C25577">
            <w:pPr>
              <w:rPr>
                <w:sz w:val="16"/>
                <w:szCs w:val="16"/>
              </w:rPr>
            </w:pPr>
          </w:p>
          <w:p w:rsidR="00C25577" w:rsidRPr="00AF0C9C" w:rsidRDefault="00C25577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lastRenderedPageBreak/>
              <w:t>[…]</w:t>
            </w:r>
          </w:p>
        </w:tc>
        <w:tc>
          <w:tcPr>
            <w:tcW w:w="1465" w:type="dxa"/>
          </w:tcPr>
          <w:p w:rsidR="00B75C24" w:rsidRPr="00AF0C9C" w:rsidRDefault="00B75C24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</w:tcPr>
          <w:p w:rsidR="00B75C24" w:rsidRPr="00AF0C9C" w:rsidRDefault="00C25577">
            <w:pPr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nota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4567 del 21 marzo 2014 il Sig. Esposito Vito, in qualità di proprietario della struttura ricettiva all’insegna “ Mam</w:t>
            </w:r>
            <w:r w:rsidR="003672C0">
              <w:rPr>
                <w:rFonts w:cs="Arial"/>
                <w:sz w:val="16"/>
                <w:szCs w:val="16"/>
              </w:rPr>
              <w:t xml:space="preserve">ma li Turchi” </w:t>
            </w:r>
            <w:r w:rsidRPr="00AF0C9C">
              <w:rPr>
                <w:rFonts w:cs="Arial"/>
                <w:sz w:val="16"/>
                <w:szCs w:val="16"/>
              </w:rPr>
              <w:t xml:space="preserve">, ha richiesto il Provvedimento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Autorizzativo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Unico di cui all’art. 8 del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Dpr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7 luglio 2010 n°160, per la ristrutturazione e ampliamento del locale ristorante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>esistente e realizzazione di una struttura ricettiva annessa, al fine di potenziarne la finalità turistica da realizzarsi in adiacenza alla struttura esisten</w:t>
            </w:r>
            <w:r w:rsidR="003672C0">
              <w:rPr>
                <w:rFonts w:cs="Arial"/>
                <w:sz w:val="16"/>
                <w:szCs w:val="16"/>
              </w:rPr>
              <w:t xml:space="preserve">te sul terreno </w:t>
            </w:r>
            <w:r w:rsidRPr="00AF0C9C">
              <w:rPr>
                <w:rFonts w:cs="Arial"/>
                <w:sz w:val="16"/>
                <w:szCs w:val="16"/>
              </w:rPr>
              <w:t>della estensione complessiva di mq. 2201;</w:t>
            </w:r>
          </w:p>
          <w:p w:rsidR="00C25577" w:rsidRPr="00AF0C9C" w:rsidRDefault="00C25577">
            <w:pPr>
              <w:rPr>
                <w:rFonts w:cs="Arial"/>
                <w:sz w:val="16"/>
                <w:szCs w:val="16"/>
              </w:rPr>
            </w:pPr>
          </w:p>
          <w:p w:rsidR="00C25577" w:rsidRPr="00AF0C9C" w:rsidRDefault="00C25577" w:rsidP="00C255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progetto a firma del Geom. Rocco PICECI, iscritto all’albo dei Geometri della Provincia di Lecce al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2523, tecnico collaboratore Arch. Piera LICCHETTA, iscritto all’Ordine degli Architetti Pianificatori, Paesaggisti e Conservatori della Provincia di Lecce al n°1358, si compone dei seguenti elaborati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scripto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- grafici: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tecnica generale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01 -  Inquadramento territoriale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02 - Rilievo dello stato dei luoghi: Piante – Sezioni e Prospetti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Tav. 03 – Progetto: Piante, sezioni, prospetti e dati tecnici;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Documentazione fotografica;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paesaggistica;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ind w:firstLine="256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Relazione di compatibilità rispetto al PUTT/P E PPTR</w:t>
            </w:r>
          </w:p>
          <w:p w:rsidR="00C25577" w:rsidRPr="00AF0C9C" w:rsidRDefault="00C25577" w:rsidP="00C25577">
            <w:pPr>
              <w:numPr>
                <w:ilvl w:val="1"/>
                <w:numId w:val="7"/>
              </w:numPr>
              <w:tabs>
                <w:tab w:val="num" w:pos="1440"/>
              </w:tabs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Relazione geotecnica sulle indagini,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caraterizzazione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e modellazione del volume </w:t>
            </w:r>
            <w:r w:rsidRPr="00AF0C9C">
              <w:rPr>
                <w:rFonts w:cs="Arial"/>
                <w:sz w:val="16"/>
                <w:szCs w:val="16"/>
              </w:rPr>
              <w:lastRenderedPageBreak/>
              <w:t>significativo di terreno di cui al par. 3.2 delle NCT</w:t>
            </w:r>
          </w:p>
          <w:p w:rsidR="00910A33" w:rsidRDefault="00C25577" w:rsidP="00910A33">
            <w:pPr>
              <w:numPr>
                <w:ilvl w:val="1"/>
                <w:numId w:val="7"/>
              </w:numPr>
              <w:tabs>
                <w:tab w:val="num" w:pos="1440"/>
              </w:tabs>
              <w:autoSpaceDE w:val="0"/>
              <w:autoSpaceDN w:val="0"/>
              <w:adjustRightInd w:val="0"/>
              <w:ind w:left="1440" w:hanging="54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Indagine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geognostica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,  sismica e relazione geologico - tecnica (a firma dott. Geol. Marcello De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Donatis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>)</w:t>
            </w:r>
            <w:r w:rsidR="00910A33">
              <w:rPr>
                <w:rFonts w:cs="Arial"/>
                <w:sz w:val="16"/>
                <w:szCs w:val="16"/>
              </w:rPr>
              <w:t>;</w:t>
            </w:r>
          </w:p>
          <w:p w:rsidR="00910A33" w:rsidRDefault="00910A33" w:rsidP="00910A33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910A33" w:rsidRDefault="00910A33" w:rsidP="00910A33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910A33" w:rsidRDefault="00910A33" w:rsidP="00910A33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910A33" w:rsidRPr="00AF0C9C" w:rsidRDefault="00910A33" w:rsidP="00910A33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nota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9372 del 18/06/2015 a firma del responsabile del settore Assetto e Gestione del territorio del Comune di Tricase con la quale viene richiesta in attuazione del regolamento regionale 9 ottobre 2013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 l’applicazione dell’art. 7 comma 2 lett. e) al procedimento di verif</w:t>
            </w:r>
            <w:r>
              <w:rPr>
                <w:rFonts w:cs="Arial"/>
                <w:sz w:val="16"/>
                <w:szCs w:val="16"/>
              </w:rPr>
              <w:t>ica per la pratica</w:t>
            </w:r>
            <w:r w:rsidRPr="00AF0C9C">
              <w:rPr>
                <w:rFonts w:cs="Arial"/>
                <w:sz w:val="16"/>
                <w:szCs w:val="16"/>
              </w:rPr>
              <w:t>;</w:t>
            </w:r>
          </w:p>
          <w:p w:rsidR="00910A33" w:rsidRDefault="00910A33" w:rsidP="00910A33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910A33" w:rsidRPr="00910A33" w:rsidRDefault="00910A33" w:rsidP="00910A33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10A33">
              <w:rPr>
                <w:rFonts w:cs="Arial"/>
                <w:sz w:val="16"/>
                <w:szCs w:val="16"/>
              </w:rPr>
              <w:t xml:space="preserve">la nota </w:t>
            </w:r>
            <w:proofErr w:type="spellStart"/>
            <w:r w:rsidRPr="00910A33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910A33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910A33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910A33">
              <w:rPr>
                <w:rFonts w:cs="Arial"/>
                <w:sz w:val="16"/>
                <w:szCs w:val="16"/>
              </w:rPr>
              <w:t xml:space="preserve"> 11875 del 04/09/2015 a firma del Dirigente ad interim dell’Ufficio Programmazione, Politiche Energetiche, VIA e VAS della Regione Puglia – Area Politiche per la riqualificazione, la tutela e la sicurezza ambientale e per l’attuazione delle opere pubbliche – Servizio Ecologia – Ufficio Programmazione, Politiche Energetiche, VIA e VAS con la quale viene comunicato che il piano di cui trattasi non è stato selezionato </w:t>
            </w:r>
            <w:r w:rsidRPr="00910A33">
              <w:rPr>
                <w:rFonts w:cs="Arial"/>
                <w:sz w:val="16"/>
                <w:szCs w:val="16"/>
              </w:rPr>
              <w:lastRenderedPageBreak/>
              <w:t xml:space="preserve">ai fini della verifica della sussistenza delle condizioni di esclusione prevista dal comma 7.3 del </w:t>
            </w:r>
            <w:proofErr w:type="spellStart"/>
            <w:r w:rsidRPr="00910A33">
              <w:rPr>
                <w:rFonts w:cs="Arial"/>
                <w:sz w:val="16"/>
                <w:szCs w:val="16"/>
              </w:rPr>
              <w:t>r.r.</w:t>
            </w:r>
            <w:proofErr w:type="spellEnd"/>
            <w:r w:rsidRPr="00910A33">
              <w:rPr>
                <w:rFonts w:cs="Arial"/>
                <w:sz w:val="16"/>
                <w:szCs w:val="16"/>
              </w:rPr>
              <w:t xml:space="preserve"> 18/2013 e, pertanto, con conclusione della procedura di registrazione di cui al comma 7.4 del medesimo regolamento.</w:t>
            </w:r>
          </w:p>
          <w:p w:rsidR="00910A33" w:rsidRPr="00910A33" w:rsidRDefault="00910A33" w:rsidP="00910A33">
            <w:pPr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C25577" w:rsidRPr="00AF0C9C" w:rsidRDefault="00C25577">
            <w:pPr>
              <w:rPr>
                <w:rFonts w:cs="Arial"/>
                <w:sz w:val="16"/>
                <w:szCs w:val="16"/>
              </w:rPr>
            </w:pPr>
          </w:p>
          <w:p w:rsidR="00C25577" w:rsidRPr="00AF0C9C" w:rsidRDefault="00C25577">
            <w:pPr>
              <w:rPr>
                <w:rFonts w:cs="Arial"/>
                <w:sz w:val="16"/>
                <w:szCs w:val="16"/>
              </w:rPr>
            </w:pPr>
          </w:p>
          <w:p w:rsidR="00C25577" w:rsidRPr="00AF0C9C" w:rsidRDefault="00C25577">
            <w:pPr>
              <w:rPr>
                <w:sz w:val="16"/>
                <w:szCs w:val="16"/>
              </w:rPr>
            </w:pPr>
          </w:p>
        </w:tc>
      </w:tr>
      <w:tr w:rsidR="00644E41" w:rsidRPr="00AF0C9C" w:rsidTr="0070009E">
        <w:tc>
          <w:tcPr>
            <w:tcW w:w="1703" w:type="dxa"/>
          </w:tcPr>
          <w:p w:rsidR="00644E41" w:rsidRPr="00AF0C9C" w:rsidRDefault="00644E41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lastRenderedPageBreak/>
              <w:t>Responsabile del Servizio</w:t>
            </w:r>
          </w:p>
          <w:p w:rsidR="00277602" w:rsidRPr="00AF0C9C" w:rsidRDefault="00277602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662" w:type="dxa"/>
          </w:tcPr>
          <w:p w:rsidR="00644E41" w:rsidRPr="00AF0C9C" w:rsidRDefault="00644E41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</w:t>
            </w:r>
          </w:p>
        </w:tc>
        <w:tc>
          <w:tcPr>
            <w:tcW w:w="1605" w:type="dxa"/>
          </w:tcPr>
          <w:p w:rsidR="00644E41" w:rsidRPr="00AF0C9C" w:rsidRDefault="00A8797D" w:rsidP="00353051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n.1047 del 9.11.2015</w:t>
            </w:r>
          </w:p>
        </w:tc>
        <w:tc>
          <w:tcPr>
            <w:tcW w:w="1734" w:type="dxa"/>
          </w:tcPr>
          <w:p w:rsidR="00644E41" w:rsidRPr="00AF0C9C" w:rsidRDefault="00A8797D" w:rsidP="00353051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 xml:space="preserve">LOTTO CIMITERIALE N. 10B NEL CIMITERO </w:t>
            </w:r>
            <w:proofErr w:type="spellStart"/>
            <w:r w:rsidRPr="00AF0C9C">
              <w:rPr>
                <w:sz w:val="16"/>
                <w:szCs w:val="16"/>
              </w:rPr>
              <w:t>DI</w:t>
            </w:r>
            <w:proofErr w:type="spellEnd"/>
            <w:r w:rsidRPr="00AF0C9C">
              <w:rPr>
                <w:sz w:val="16"/>
                <w:szCs w:val="16"/>
              </w:rPr>
              <w:t xml:space="preserve"> TRICASE - RINUNCIA E RIASSEGNAZIONE.</w:t>
            </w:r>
          </w:p>
        </w:tc>
        <w:tc>
          <w:tcPr>
            <w:tcW w:w="3725" w:type="dxa"/>
          </w:tcPr>
          <w:p w:rsidR="00644E41" w:rsidRPr="00AF0C9C" w:rsidRDefault="00A8797D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[…]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Premesso che con Determina del Responsabile del Servizio n. 397 del 05.04.2006, divenuta esecutiva ai sensi di legge, è stato, tra gli altri, assegnato, al Sig. Sabato Edoardo,[…], il lotto n. 10B della superficie di mq.10,00, sito nel nuovo cimitero del Capoluogo, per il prezzo di € 260,00 al metro quadrato;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Che, con contratto Rep. n.2027 in data 18.01.2007, registrato a Casarano il 01.02.2007 al n.344, serie 1^, è stata formalizzata la concessione dell’area sopra distinta;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Che il Sig. Sabato Edoardo, con nota acquisita al protocollo del Comune al n. </w:t>
            </w:r>
            <w:smartTag w:uri="urn:schemas-microsoft-com:office:smarttags" w:element="metricconverter">
              <w:smartTagPr>
                <w:attr w:name="ProductID" w:val="0015424 in"/>
              </w:smartTagPr>
              <w:r w:rsidRPr="00AF0C9C">
                <w:rPr>
                  <w:rFonts w:cs="Arial"/>
                  <w:sz w:val="16"/>
                  <w:szCs w:val="16"/>
                </w:rPr>
                <w:t>0015424 in</w:t>
              </w:r>
            </w:smartTag>
            <w:r w:rsidRPr="00AF0C9C">
              <w:rPr>
                <w:rFonts w:cs="Arial"/>
                <w:sz w:val="16"/>
                <w:szCs w:val="16"/>
              </w:rPr>
              <w:t xml:space="preserve"> data 28.09.2015, ha comunicato che non intende più usufruire, per motivi personali, 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della costruzione, per cui, a norma dell’art. 84 – b del Regolamento Comunale in materia, chiede di essere autorizzato a cedere le opere in soprassuolo a favore della Sig.ra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Mastria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Lucia […];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Visto l’art.83 del Regolamento comunale dei servizi funebri dal quale risulta che la cessione del diritto di uso tra privati è vietata;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Tenuto conto che, nel caso specifico, essendo stati iniziati i lavori da parte della titolare della concessione, può essere applicato il disposto del successivo art.84,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lett.b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>) del regolamento secondo il quale l’Amministrazione può autorizzare la cessione delle sole opere ad un terzo che, a sua volta, prende in concessione dal Comune l’area rinunciata;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Che sulla base del citato art. 84 il concessionario che riconsegna  l’area al Comune ha diritto al rimborso degli 8/10 della somma versata all’atto della concessione;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Che nel caso di specie il Sig. Sabato Edoardo ha versato a titolo di concessione dell’area € 2.600,00 pertanto ha diritto a ottenere a rimborso  € 2.080,00  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Ritenuto di poter accogliere la richiesta di cui sopra;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bookmarkStart w:id="0" w:name="_Hlt471176643"/>
            <w:bookmarkEnd w:id="0"/>
            <w:r w:rsidRPr="00AF0C9C">
              <w:rPr>
                <w:rFonts w:cs="Arial"/>
                <w:sz w:val="16"/>
                <w:szCs w:val="16"/>
              </w:rPr>
              <w:t>Visto il Regolamento Comunale dei servizi funebri e del Cimitero;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lastRenderedPageBreak/>
              <w:t xml:space="preserve">Visto il D.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L.vo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18.08.2000, n.267,</w:t>
            </w:r>
          </w:p>
          <w:p w:rsidR="00A8797D" w:rsidRPr="00AF0C9C" w:rsidRDefault="00A8797D" w:rsidP="00A8797D">
            <w:pPr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pStyle w:val="Titolo1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AF0C9C">
              <w:rPr>
                <w:rFonts w:asciiTheme="minorHAnsi" w:hAnsiTheme="minorHAnsi"/>
                <w:sz w:val="16"/>
                <w:szCs w:val="16"/>
              </w:rPr>
              <w:t>DETERMINA</w:t>
            </w:r>
          </w:p>
          <w:p w:rsidR="00A8797D" w:rsidRPr="00AF0C9C" w:rsidRDefault="00A8797D" w:rsidP="00A8797D">
            <w:pPr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numPr>
                <w:ilvl w:val="0"/>
                <w:numId w:val="8"/>
              </w:numPr>
              <w:tabs>
                <w:tab w:val="num" w:pos="180"/>
              </w:tabs>
              <w:ind w:left="180" w:firstLine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Per le ragioni esposte in narrativa, accettare la rinuncia in premessa citata e annullare il contratto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Rep.n.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2027 del 18.01.2007 con il quale era stata concessa al Sig. Sabato Edoardo, […] il lotto contraddistinta con il n. 10B di mq.10,00 sita nel nuovo Cimitero del Capoluogo.</w:t>
            </w:r>
          </w:p>
          <w:p w:rsidR="00A8797D" w:rsidRPr="00AF0C9C" w:rsidRDefault="00A8797D" w:rsidP="00A8797D">
            <w:pPr>
              <w:tabs>
                <w:tab w:val="num" w:pos="180"/>
              </w:tabs>
              <w:ind w:left="180"/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tabs>
                <w:tab w:val="num" w:pos="180"/>
              </w:tabs>
              <w:ind w:left="18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2)  Ai sensi dell’art.84,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lett.b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), comma 2°, del citato regolamento, autorizzare la cessione delle opere realizzate, esistenti sul lotto n. 10B dal Sig. Sabato Edoardo alla Sig.ra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Mastria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Lucia […];</w:t>
            </w:r>
          </w:p>
          <w:p w:rsidR="00A8797D" w:rsidRPr="00AF0C9C" w:rsidRDefault="00A8797D" w:rsidP="00A8797D">
            <w:pPr>
              <w:tabs>
                <w:tab w:val="num" w:pos="180"/>
              </w:tabs>
              <w:ind w:left="180"/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numPr>
                <w:ilvl w:val="0"/>
                <w:numId w:val="9"/>
              </w:numPr>
              <w:tabs>
                <w:tab w:val="num" w:pos="180"/>
              </w:tabs>
              <w:ind w:left="180" w:firstLine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Concedere l’area in questione contraddistinta dal n. 10B alla Sig. </w:t>
            </w:r>
            <w:proofErr w:type="spellStart"/>
            <w:r w:rsidRPr="00AF0C9C">
              <w:rPr>
                <w:rFonts w:cs="Arial"/>
                <w:sz w:val="16"/>
                <w:szCs w:val="16"/>
              </w:rPr>
              <w:t>Mastria</w:t>
            </w:r>
            <w:proofErr w:type="spellEnd"/>
            <w:r w:rsidRPr="00AF0C9C">
              <w:rPr>
                <w:rFonts w:cs="Arial"/>
                <w:sz w:val="16"/>
                <w:szCs w:val="16"/>
              </w:rPr>
              <w:t xml:space="preserve"> Lucia con la quale verrà stipulato apposito contratto in forma pubblica amministrativa previo versamento della somma di € </w:t>
            </w:r>
            <w:smartTag w:uri="urn:schemas-microsoft-com:office:smarttags" w:element="metricconverter">
              <w:smartTagPr>
                <w:attr w:name="ProductID" w:val="2.600,00 a"/>
              </w:smartTagPr>
              <w:r w:rsidRPr="00AF0C9C">
                <w:rPr>
                  <w:rFonts w:cs="Arial"/>
                  <w:sz w:val="16"/>
                  <w:szCs w:val="16"/>
                </w:rPr>
                <w:t>2.600,00 a</w:t>
              </w:r>
            </w:smartTag>
            <w:r w:rsidRPr="00AF0C9C">
              <w:rPr>
                <w:rFonts w:cs="Arial"/>
                <w:sz w:val="16"/>
                <w:szCs w:val="16"/>
              </w:rPr>
              <w:t xml:space="preserve"> titolo di concessione dell’area, oltre le spese contrattuali, introitandola, ad avvenuta riscossione sul Cap. 420 “proventi da servizi cimiteriali”;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 w:rsidP="00A8797D">
            <w:pPr>
              <w:numPr>
                <w:ilvl w:val="0"/>
                <w:numId w:val="9"/>
              </w:numPr>
              <w:tabs>
                <w:tab w:val="num" w:pos="180"/>
              </w:tabs>
              <w:ind w:left="180" w:firstLine="0"/>
              <w:jc w:val="both"/>
              <w:rPr>
                <w:rFonts w:cs="Arial"/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>Rimborsare al Sig. Sabato Edoardo l’importo di € 2.080,00 corrispondenti agli 8/10 di quanto a suo tempo versato, prelevando l’importo da gestione cimiteri Cap. 1790 “spese per servizi cimiteriali”</w:t>
            </w:r>
          </w:p>
          <w:p w:rsidR="00A8797D" w:rsidRPr="00AF0C9C" w:rsidRDefault="00A8797D" w:rsidP="00A8797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8797D" w:rsidRPr="00AF0C9C" w:rsidRDefault="00A8797D">
            <w:pPr>
              <w:rPr>
                <w:sz w:val="16"/>
                <w:szCs w:val="16"/>
              </w:rPr>
            </w:pPr>
          </w:p>
          <w:p w:rsidR="00A8797D" w:rsidRPr="00AF0C9C" w:rsidRDefault="00A8797D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[…]</w:t>
            </w:r>
          </w:p>
        </w:tc>
        <w:tc>
          <w:tcPr>
            <w:tcW w:w="1465" w:type="dxa"/>
          </w:tcPr>
          <w:p w:rsidR="00644E41" w:rsidRPr="00AF0C9C" w:rsidRDefault="00A8797D">
            <w:pPr>
              <w:rPr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lastRenderedPageBreak/>
              <w:t>€ 2.080,00</w:t>
            </w:r>
          </w:p>
        </w:tc>
        <w:tc>
          <w:tcPr>
            <w:tcW w:w="2609" w:type="dxa"/>
          </w:tcPr>
          <w:p w:rsidR="00644E41" w:rsidRPr="00AF0C9C" w:rsidRDefault="00A8797D">
            <w:pPr>
              <w:rPr>
                <w:sz w:val="16"/>
                <w:szCs w:val="16"/>
              </w:rPr>
            </w:pPr>
            <w:r w:rsidRPr="00AF0C9C">
              <w:rPr>
                <w:rFonts w:cs="Arial"/>
                <w:sz w:val="16"/>
                <w:szCs w:val="16"/>
              </w:rPr>
              <w:t xml:space="preserve">nota acquisita al protocollo del Comune al n. </w:t>
            </w:r>
            <w:smartTag w:uri="urn:schemas-microsoft-com:office:smarttags" w:element="metricconverter">
              <w:smartTagPr>
                <w:attr w:name="ProductID" w:val="0015424 in"/>
              </w:smartTagPr>
              <w:r w:rsidRPr="00AF0C9C">
                <w:rPr>
                  <w:rFonts w:cs="Arial"/>
                  <w:sz w:val="16"/>
                  <w:szCs w:val="16"/>
                </w:rPr>
                <w:t>0015424 in</w:t>
              </w:r>
            </w:smartTag>
            <w:r w:rsidRPr="00AF0C9C">
              <w:rPr>
                <w:rFonts w:cs="Arial"/>
                <w:sz w:val="16"/>
                <w:szCs w:val="16"/>
              </w:rPr>
              <w:t xml:space="preserve"> data 28.09.2015 del Sig. Sabato Edoardo</w:t>
            </w:r>
          </w:p>
        </w:tc>
      </w:tr>
    </w:tbl>
    <w:p w:rsidR="00B75C24" w:rsidRPr="00AF0C9C" w:rsidRDefault="00B75C24">
      <w:pPr>
        <w:rPr>
          <w:sz w:val="16"/>
          <w:szCs w:val="16"/>
        </w:rPr>
      </w:pPr>
    </w:p>
    <w:sectPr w:rsidR="00B75C24" w:rsidRPr="00AF0C9C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117"/>
    <w:multiLevelType w:val="singleLevel"/>
    <w:tmpl w:val="2BAE005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">
    <w:nsid w:val="08D8796A"/>
    <w:multiLevelType w:val="hybridMultilevel"/>
    <w:tmpl w:val="44560B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C2005"/>
    <w:multiLevelType w:val="hybridMultilevel"/>
    <w:tmpl w:val="25A44C0A"/>
    <w:lvl w:ilvl="0" w:tplc="24A8BF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791244A"/>
    <w:multiLevelType w:val="hybridMultilevel"/>
    <w:tmpl w:val="8B0CDD86"/>
    <w:lvl w:ilvl="0" w:tplc="26D41A9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C25D2F"/>
    <w:multiLevelType w:val="hybridMultilevel"/>
    <w:tmpl w:val="94421884"/>
    <w:lvl w:ilvl="0" w:tplc="9BDE3CE4">
      <w:start w:val="1"/>
      <w:numFmt w:val="bullet"/>
      <w:lvlText w:val=""/>
      <w:lvlJc w:val="left"/>
      <w:pPr>
        <w:tabs>
          <w:tab w:val="num" w:pos="850"/>
        </w:tabs>
        <w:ind w:left="879" w:hanging="595"/>
      </w:pPr>
      <w:rPr>
        <w:rFonts w:ascii="Wingdings" w:hAnsi="Wingdings" w:hint="default"/>
        <w:color w:val="auto"/>
      </w:rPr>
    </w:lvl>
    <w:lvl w:ilvl="1" w:tplc="54EA1D2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color w:val="auto"/>
      </w:rPr>
    </w:lvl>
    <w:lvl w:ilvl="2" w:tplc="D318D18A">
      <w:start w:val="1"/>
      <w:numFmt w:val="bullet"/>
      <w:lvlText w:val=""/>
      <w:lvlJc w:val="left"/>
      <w:pPr>
        <w:tabs>
          <w:tab w:val="num" w:pos="1517"/>
        </w:tabs>
        <w:ind w:left="1800"/>
      </w:pPr>
      <w:rPr>
        <w:rFonts w:ascii="Symbol" w:hAnsi="Symbol" w:hint="default"/>
        <w:color w:val="auto"/>
      </w:rPr>
    </w:lvl>
    <w:lvl w:ilvl="3" w:tplc="E56291B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BB7761"/>
    <w:multiLevelType w:val="hybridMultilevel"/>
    <w:tmpl w:val="BCF0B646"/>
    <w:lvl w:ilvl="0" w:tplc="A3BE544E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B2DC8"/>
    <w:multiLevelType w:val="hybridMultilevel"/>
    <w:tmpl w:val="E5BE412A"/>
    <w:lvl w:ilvl="0" w:tplc="E780DD0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9126D4"/>
    <w:multiLevelType w:val="hybridMultilevel"/>
    <w:tmpl w:val="9E9C497A"/>
    <w:lvl w:ilvl="0" w:tplc="A55E9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10CB"/>
    <w:rsid w:val="00070CD4"/>
    <w:rsid w:val="000D4049"/>
    <w:rsid w:val="001868F1"/>
    <w:rsid w:val="00196B84"/>
    <w:rsid w:val="0022576D"/>
    <w:rsid w:val="0026444B"/>
    <w:rsid w:val="00277602"/>
    <w:rsid w:val="002A578D"/>
    <w:rsid w:val="0031248E"/>
    <w:rsid w:val="00346301"/>
    <w:rsid w:val="003672C0"/>
    <w:rsid w:val="003C1818"/>
    <w:rsid w:val="00435584"/>
    <w:rsid w:val="004F4623"/>
    <w:rsid w:val="005631F0"/>
    <w:rsid w:val="00597709"/>
    <w:rsid w:val="005A1352"/>
    <w:rsid w:val="005E09E1"/>
    <w:rsid w:val="005E4098"/>
    <w:rsid w:val="00615465"/>
    <w:rsid w:val="00644E41"/>
    <w:rsid w:val="00697BD7"/>
    <w:rsid w:val="006A13E9"/>
    <w:rsid w:val="0070009E"/>
    <w:rsid w:val="00710517"/>
    <w:rsid w:val="007E6DB8"/>
    <w:rsid w:val="00826F50"/>
    <w:rsid w:val="0085031C"/>
    <w:rsid w:val="00853692"/>
    <w:rsid w:val="008F625D"/>
    <w:rsid w:val="00910A33"/>
    <w:rsid w:val="00920ECB"/>
    <w:rsid w:val="009474BB"/>
    <w:rsid w:val="00965B72"/>
    <w:rsid w:val="009A497C"/>
    <w:rsid w:val="009C4789"/>
    <w:rsid w:val="00A30A92"/>
    <w:rsid w:val="00A8797D"/>
    <w:rsid w:val="00AC3879"/>
    <w:rsid w:val="00AF0C9C"/>
    <w:rsid w:val="00B13D3F"/>
    <w:rsid w:val="00B75C24"/>
    <w:rsid w:val="00B7772B"/>
    <w:rsid w:val="00BB656A"/>
    <w:rsid w:val="00C14E96"/>
    <w:rsid w:val="00C25577"/>
    <w:rsid w:val="00C60352"/>
    <w:rsid w:val="00C67AF7"/>
    <w:rsid w:val="00CC0DC9"/>
    <w:rsid w:val="00CC2A89"/>
    <w:rsid w:val="00D130E3"/>
    <w:rsid w:val="00D44B74"/>
    <w:rsid w:val="00D474EE"/>
    <w:rsid w:val="00D66C0E"/>
    <w:rsid w:val="00D754F0"/>
    <w:rsid w:val="00D9579C"/>
    <w:rsid w:val="00E022C0"/>
    <w:rsid w:val="00E26A90"/>
    <w:rsid w:val="00E72D44"/>
    <w:rsid w:val="00EC0E5D"/>
    <w:rsid w:val="00EF5200"/>
    <w:rsid w:val="00F42F8B"/>
    <w:rsid w:val="00F6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"/>
    <w:qFormat/>
    <w:rsid w:val="008536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46301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6301"/>
    <w:pPr>
      <w:spacing w:after="0" w:line="240" w:lineRule="auto"/>
      <w:ind w:left="22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6301"/>
    <w:rPr>
      <w:rFonts w:ascii="Arial" w:eastAsia="Times New Roman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63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6301"/>
    <w:rPr>
      <w:rFonts w:ascii="Courier New" w:eastAsia="Times New Roman" w:hAnsi="Courier New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369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50</cp:revision>
  <cp:lastPrinted>2014-08-26T08:40:00Z</cp:lastPrinted>
  <dcterms:created xsi:type="dcterms:W3CDTF">2014-12-03T11:22:00Z</dcterms:created>
  <dcterms:modified xsi:type="dcterms:W3CDTF">2016-03-04T12:13:00Z</dcterms:modified>
</cp:coreProperties>
</file>